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F2" w:rsidRPr="005D7DF2" w:rsidRDefault="005D7DF2" w:rsidP="005D7DF2">
      <w:pPr>
        <w:rPr>
          <w:b/>
        </w:rPr>
      </w:pPr>
      <w:r>
        <w:rPr>
          <w:b/>
        </w:rPr>
        <w:t xml:space="preserve">POLE ACCOMPAGNEMENT </w:t>
      </w:r>
      <w:r w:rsidRPr="005D7DF2">
        <w:rPr>
          <w:b/>
        </w:rPr>
        <w:t xml:space="preserve">FORMATION                                                               </w:t>
      </w:r>
      <w:r w:rsidRPr="005D7DF2">
        <w:rPr>
          <w:b/>
        </w:rPr>
        <w:t xml:space="preserve"> LE COLOR VOTE</w:t>
      </w:r>
    </w:p>
    <w:p w:rsidR="005D7DF2" w:rsidRDefault="005D7DF2">
      <w:pPr>
        <w:rPr>
          <w:b/>
        </w:rPr>
      </w:pPr>
    </w:p>
    <w:p w:rsidR="00A11748" w:rsidRDefault="005D7DF2">
      <w:pPr>
        <w:rPr>
          <w:b/>
        </w:rPr>
      </w:pPr>
      <w:r>
        <w:rPr>
          <w:b/>
        </w:rPr>
        <w:t xml:space="preserve">Outil utilisable dans l’étape : </w:t>
      </w:r>
    </w:p>
    <w:tbl>
      <w:tblPr>
        <w:tblStyle w:val="a"/>
        <w:tblW w:w="156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2602"/>
        <w:gridCol w:w="2602"/>
        <w:gridCol w:w="2602"/>
        <w:gridCol w:w="2602"/>
      </w:tblGrid>
      <w:tr w:rsidR="00A11748">
        <w:tc>
          <w:tcPr>
            <w:tcW w:w="2603" w:type="dxa"/>
          </w:tcPr>
          <w:p w:rsidR="00A11748" w:rsidRDefault="005D7DF2">
            <w:pPr>
              <w:jc w:val="center"/>
              <w:rPr>
                <w:b/>
                <w:sz w:val="20"/>
                <w:szCs w:val="20"/>
              </w:rPr>
            </w:pPr>
            <w:r>
              <w:rPr>
                <w:b/>
                <w:sz w:val="20"/>
                <w:szCs w:val="20"/>
              </w:rPr>
              <w:t>D’évaluation</w:t>
            </w:r>
          </w:p>
        </w:tc>
        <w:tc>
          <w:tcPr>
            <w:tcW w:w="2603" w:type="dxa"/>
          </w:tcPr>
          <w:p w:rsidR="00A11748" w:rsidRDefault="005D7DF2">
            <w:pPr>
              <w:jc w:val="center"/>
              <w:rPr>
                <w:b/>
                <w:sz w:val="20"/>
                <w:szCs w:val="20"/>
              </w:rPr>
            </w:pPr>
            <w:r>
              <w:rPr>
                <w:b/>
                <w:sz w:val="20"/>
                <w:szCs w:val="20"/>
              </w:rPr>
              <w:t>De diagnostic social de territoire</w:t>
            </w:r>
          </w:p>
        </w:tc>
        <w:tc>
          <w:tcPr>
            <w:tcW w:w="2602" w:type="dxa"/>
          </w:tcPr>
          <w:p w:rsidR="00A11748" w:rsidRDefault="005D7DF2">
            <w:pPr>
              <w:jc w:val="center"/>
              <w:rPr>
                <w:b/>
                <w:sz w:val="20"/>
                <w:szCs w:val="20"/>
              </w:rPr>
            </w:pPr>
            <w:r>
              <w:rPr>
                <w:b/>
                <w:sz w:val="20"/>
                <w:szCs w:val="20"/>
              </w:rPr>
              <w:t>De définition du projet vision</w:t>
            </w:r>
          </w:p>
        </w:tc>
        <w:tc>
          <w:tcPr>
            <w:tcW w:w="2602" w:type="dxa"/>
          </w:tcPr>
          <w:p w:rsidR="00A11748" w:rsidRDefault="005D7DF2">
            <w:pPr>
              <w:jc w:val="center"/>
              <w:rPr>
                <w:b/>
                <w:sz w:val="20"/>
                <w:szCs w:val="20"/>
              </w:rPr>
            </w:pPr>
            <w:r>
              <w:rPr>
                <w:b/>
                <w:sz w:val="20"/>
                <w:szCs w:val="20"/>
              </w:rPr>
              <w:t>De diagnostic interne/externe</w:t>
            </w:r>
          </w:p>
        </w:tc>
        <w:tc>
          <w:tcPr>
            <w:tcW w:w="2602" w:type="dxa"/>
          </w:tcPr>
          <w:p w:rsidR="00A11748" w:rsidRDefault="005D7DF2">
            <w:pPr>
              <w:jc w:val="center"/>
              <w:rPr>
                <w:b/>
                <w:sz w:val="20"/>
                <w:szCs w:val="20"/>
              </w:rPr>
            </w:pPr>
            <w:r>
              <w:rPr>
                <w:b/>
                <w:sz w:val="20"/>
                <w:szCs w:val="20"/>
              </w:rPr>
              <w:t>De définition du projet programmatique</w:t>
            </w:r>
          </w:p>
        </w:tc>
        <w:tc>
          <w:tcPr>
            <w:tcW w:w="2602" w:type="dxa"/>
          </w:tcPr>
          <w:p w:rsidR="00A11748" w:rsidRDefault="005D7DF2">
            <w:pPr>
              <w:jc w:val="center"/>
              <w:rPr>
                <w:b/>
                <w:sz w:val="20"/>
                <w:szCs w:val="20"/>
              </w:rPr>
            </w:pPr>
            <w:r>
              <w:rPr>
                <w:b/>
                <w:sz w:val="20"/>
                <w:szCs w:val="20"/>
              </w:rPr>
              <w:t>De définition de l</w:t>
            </w:r>
            <w:r>
              <w:rPr>
                <w:b/>
                <w:sz w:val="20"/>
                <w:szCs w:val="20"/>
              </w:rPr>
              <w:t xml:space="preserve">a stratégie de mise en </w:t>
            </w:r>
            <w:proofErr w:type="spellStart"/>
            <w:r>
              <w:rPr>
                <w:b/>
                <w:sz w:val="20"/>
                <w:szCs w:val="20"/>
              </w:rPr>
              <w:t>oeuvre</w:t>
            </w:r>
            <w:proofErr w:type="spellEnd"/>
          </w:p>
        </w:tc>
      </w:tr>
      <w:tr w:rsidR="00A11748">
        <w:tc>
          <w:tcPr>
            <w:tcW w:w="2603" w:type="dxa"/>
          </w:tcPr>
          <w:p w:rsidR="00A11748" w:rsidRDefault="00A11748"/>
        </w:tc>
        <w:tc>
          <w:tcPr>
            <w:tcW w:w="2603" w:type="dxa"/>
          </w:tcPr>
          <w:p w:rsidR="00A11748" w:rsidRDefault="005D7DF2">
            <w:pPr>
              <w:jc w:val="center"/>
            </w:pPr>
            <w:r>
              <w:t>X</w:t>
            </w:r>
          </w:p>
        </w:tc>
        <w:tc>
          <w:tcPr>
            <w:tcW w:w="2602" w:type="dxa"/>
          </w:tcPr>
          <w:p w:rsidR="00A11748" w:rsidRDefault="005D7DF2">
            <w:pPr>
              <w:jc w:val="center"/>
            </w:pPr>
            <w:r>
              <w:t>X</w:t>
            </w:r>
          </w:p>
        </w:tc>
        <w:tc>
          <w:tcPr>
            <w:tcW w:w="2602" w:type="dxa"/>
          </w:tcPr>
          <w:p w:rsidR="00A11748" w:rsidRDefault="00A11748"/>
        </w:tc>
        <w:tc>
          <w:tcPr>
            <w:tcW w:w="2602" w:type="dxa"/>
          </w:tcPr>
          <w:p w:rsidR="00A11748" w:rsidRDefault="005D7DF2">
            <w:pPr>
              <w:jc w:val="center"/>
            </w:pPr>
            <w:r>
              <w:t>X</w:t>
            </w:r>
          </w:p>
        </w:tc>
        <w:tc>
          <w:tcPr>
            <w:tcW w:w="2602" w:type="dxa"/>
          </w:tcPr>
          <w:p w:rsidR="00A11748" w:rsidRDefault="00A11748"/>
        </w:tc>
      </w:tr>
    </w:tbl>
    <w:p w:rsidR="00A11748" w:rsidRDefault="00A11748"/>
    <w:p w:rsidR="00A11748" w:rsidRDefault="005D7DF2">
      <w:pPr>
        <w:rPr>
          <w:b/>
        </w:rPr>
      </w:pPr>
      <w:r>
        <w:rPr>
          <w:b/>
        </w:rPr>
        <w:t xml:space="preserve">Objectif de l’outil : </w:t>
      </w:r>
    </w:p>
    <w:p w:rsidR="00A11748" w:rsidRDefault="005D7DF2">
      <w:pPr>
        <w:spacing w:after="0"/>
        <w:ind w:left="142"/>
        <w:jc w:val="both"/>
        <w:rPr>
          <w:color w:val="000000"/>
          <w:sz w:val="24"/>
          <w:szCs w:val="24"/>
        </w:rPr>
      </w:pPr>
      <w:r>
        <w:rPr>
          <w:color w:val="000000"/>
          <w:sz w:val="24"/>
          <w:szCs w:val="24"/>
        </w:rPr>
        <w:t xml:space="preserve">Le </w:t>
      </w:r>
      <w:proofErr w:type="spellStart"/>
      <w:r>
        <w:rPr>
          <w:color w:val="000000"/>
          <w:sz w:val="24"/>
          <w:szCs w:val="24"/>
        </w:rPr>
        <w:t>Colorvote</w:t>
      </w:r>
      <w:proofErr w:type="spellEnd"/>
      <w:r>
        <w:rPr>
          <w:color w:val="000000"/>
          <w:sz w:val="24"/>
          <w:szCs w:val="24"/>
        </w:rPr>
        <w:t xml:space="preserve"> est un </w:t>
      </w:r>
      <w:r>
        <w:rPr>
          <w:b/>
          <w:i/>
          <w:color w:val="000000"/>
          <w:sz w:val="24"/>
          <w:szCs w:val="24"/>
        </w:rPr>
        <w:t xml:space="preserve">outil d’intelligence collective </w:t>
      </w:r>
      <w:r>
        <w:rPr>
          <w:color w:val="000000"/>
          <w:sz w:val="24"/>
          <w:szCs w:val="24"/>
        </w:rPr>
        <w:t xml:space="preserve">destiné à recueillir les opinions des membres de différents groupes de travail et à repérer les points </w:t>
      </w:r>
      <w:proofErr w:type="gramStart"/>
      <w:r>
        <w:rPr>
          <w:color w:val="000000"/>
          <w:sz w:val="24"/>
          <w:szCs w:val="24"/>
        </w:rPr>
        <w:t>convergents  pour</w:t>
      </w:r>
      <w:proofErr w:type="gramEnd"/>
      <w:r>
        <w:rPr>
          <w:color w:val="000000"/>
          <w:sz w:val="24"/>
          <w:szCs w:val="24"/>
        </w:rPr>
        <w:t xml:space="preserve"> construire collectivement des réponses. L’information recueillie auprès des membres d’un groupe constitue une ressource très riche, mai</w:t>
      </w:r>
      <w:r>
        <w:rPr>
          <w:color w:val="000000"/>
          <w:sz w:val="24"/>
          <w:szCs w:val="24"/>
        </w:rPr>
        <w:t>s difficile à exploiter du fait de la diversité des avis et de leur formulation.</w:t>
      </w:r>
      <w:r>
        <w:rPr>
          <w:noProof/>
        </w:rPr>
        <w:drawing>
          <wp:anchor distT="0" distB="0" distL="114300" distR="114300" simplePos="0" relativeHeight="251658240" behindDoc="0" locked="0" layoutInCell="1" hidden="0" allowOverlap="1">
            <wp:simplePos x="0" y="0"/>
            <wp:positionH relativeFrom="column">
              <wp:posOffset>7150100</wp:posOffset>
            </wp:positionH>
            <wp:positionV relativeFrom="paragraph">
              <wp:posOffset>615315</wp:posOffset>
            </wp:positionV>
            <wp:extent cx="3028950" cy="1318260"/>
            <wp:effectExtent l="0" t="0" r="0" b="0"/>
            <wp:wrapSquare wrapText="bothSides" distT="0" distB="0" distL="114300" distR="114300"/>
            <wp:docPr id="1" name="image2.jpg" descr="http://www.eureval.org/IMG/Image/Illustration.jpg"/>
            <wp:cNvGraphicFramePr/>
            <a:graphic xmlns:a="http://schemas.openxmlformats.org/drawingml/2006/main">
              <a:graphicData uri="http://schemas.openxmlformats.org/drawingml/2006/picture">
                <pic:pic xmlns:pic="http://schemas.openxmlformats.org/drawingml/2006/picture">
                  <pic:nvPicPr>
                    <pic:cNvPr id="0" name="image2.jpg" descr="http://www.eureval.org/IMG/Image/Illustration.jpg"/>
                    <pic:cNvPicPr preferRelativeResize="0"/>
                  </pic:nvPicPr>
                  <pic:blipFill>
                    <a:blip r:embed="rId5"/>
                    <a:srcRect/>
                    <a:stretch>
                      <a:fillRect/>
                    </a:stretch>
                  </pic:blipFill>
                  <pic:spPr>
                    <a:xfrm>
                      <a:off x="0" y="0"/>
                      <a:ext cx="3028950" cy="1318260"/>
                    </a:xfrm>
                    <a:prstGeom prst="rect">
                      <a:avLst/>
                    </a:prstGeom>
                    <a:ln/>
                  </pic:spPr>
                </pic:pic>
              </a:graphicData>
            </a:graphic>
          </wp:anchor>
        </w:drawing>
      </w:r>
    </w:p>
    <w:p w:rsidR="00A11748" w:rsidRDefault="00A11748">
      <w:pPr>
        <w:spacing w:after="0"/>
        <w:jc w:val="both"/>
        <w:rPr>
          <w:color w:val="000000"/>
          <w:sz w:val="24"/>
          <w:szCs w:val="24"/>
        </w:rPr>
      </w:pPr>
    </w:p>
    <w:p w:rsidR="00A11748" w:rsidRDefault="005D7DF2">
      <w:pPr>
        <w:spacing w:after="0"/>
        <w:jc w:val="both"/>
        <w:rPr>
          <w:rFonts w:ascii="Arial" w:eastAsia="Arial" w:hAnsi="Arial" w:cs="Arial"/>
          <w:b/>
          <w:color w:val="FFFFFF"/>
          <w:sz w:val="20"/>
          <w:szCs w:val="20"/>
        </w:rPr>
      </w:pPr>
      <w:r>
        <w:rPr>
          <w:color w:val="000000"/>
          <w:sz w:val="24"/>
          <w:szCs w:val="24"/>
        </w:rPr>
        <w:t xml:space="preserve">Pour tirer </w:t>
      </w:r>
      <w:proofErr w:type="spellStart"/>
      <w:r>
        <w:rPr>
          <w:color w:val="000000"/>
          <w:sz w:val="24"/>
          <w:szCs w:val="24"/>
        </w:rPr>
        <w:t>partie</w:t>
      </w:r>
      <w:proofErr w:type="spellEnd"/>
      <w:r>
        <w:rPr>
          <w:color w:val="000000"/>
          <w:sz w:val="24"/>
          <w:szCs w:val="24"/>
        </w:rPr>
        <w:t xml:space="preserve"> de cette richesse, la méthode de </w:t>
      </w:r>
      <w:proofErr w:type="spellStart"/>
      <w:r>
        <w:rPr>
          <w:color w:val="000000"/>
          <w:sz w:val="24"/>
          <w:szCs w:val="24"/>
        </w:rPr>
        <w:t>ColorVote</w:t>
      </w:r>
      <w:proofErr w:type="spellEnd"/>
      <w:r>
        <w:rPr>
          <w:color w:val="000000"/>
          <w:sz w:val="24"/>
          <w:szCs w:val="24"/>
        </w:rPr>
        <w:t xml:space="preserve"> propose une démarche originale fondée sur un vote coloré qui évolue en cours de réunion.</w:t>
      </w:r>
      <w:r>
        <w:rPr>
          <w:rFonts w:ascii="Arial" w:eastAsia="Arial" w:hAnsi="Arial" w:cs="Arial"/>
          <w:b/>
          <w:color w:val="FFFFFF"/>
          <w:sz w:val="20"/>
          <w:szCs w:val="20"/>
        </w:rPr>
        <w:t xml:space="preserve"> </w:t>
      </w:r>
      <w:r>
        <w:rPr>
          <w:color w:val="000000"/>
          <w:sz w:val="24"/>
          <w:szCs w:val="24"/>
        </w:rPr>
        <w:t xml:space="preserve">Cette procédure permet </w:t>
      </w:r>
      <w:r>
        <w:rPr>
          <w:color w:val="000000"/>
          <w:sz w:val="24"/>
          <w:szCs w:val="24"/>
        </w:rPr>
        <w:t xml:space="preserve">de </w:t>
      </w:r>
      <w:r>
        <w:rPr>
          <w:b/>
          <w:i/>
          <w:color w:val="000000"/>
          <w:sz w:val="24"/>
          <w:szCs w:val="24"/>
        </w:rPr>
        <w:t>photographier une opinion collective</w:t>
      </w:r>
      <w:r>
        <w:rPr>
          <w:color w:val="000000"/>
          <w:sz w:val="24"/>
          <w:szCs w:val="24"/>
        </w:rPr>
        <w:t>, dans toute sa diversité pour pouvoir en dégager une synthèse, tout en conservant la richesse.</w:t>
      </w:r>
    </w:p>
    <w:p w:rsidR="00A11748" w:rsidRDefault="00A11748">
      <w:pPr>
        <w:spacing w:after="0"/>
        <w:jc w:val="both"/>
        <w:rPr>
          <w:color w:val="000000"/>
          <w:sz w:val="24"/>
          <w:szCs w:val="24"/>
        </w:rPr>
      </w:pPr>
    </w:p>
    <w:p w:rsidR="00A11748" w:rsidRDefault="005D7DF2">
      <w:pPr>
        <w:spacing w:after="0"/>
        <w:jc w:val="both"/>
        <w:rPr>
          <w:color w:val="000000"/>
          <w:sz w:val="24"/>
          <w:szCs w:val="24"/>
        </w:rPr>
      </w:pPr>
      <w:r>
        <w:rPr>
          <w:color w:val="000000"/>
          <w:sz w:val="24"/>
          <w:szCs w:val="24"/>
        </w:rPr>
        <w:t xml:space="preserve">Les grandes étapes de la méthode du </w:t>
      </w:r>
      <w:proofErr w:type="spellStart"/>
      <w:r>
        <w:rPr>
          <w:color w:val="000000"/>
          <w:sz w:val="24"/>
          <w:szCs w:val="24"/>
        </w:rPr>
        <w:t>Colorvote</w:t>
      </w:r>
      <w:proofErr w:type="spellEnd"/>
      <w:r>
        <w:rPr>
          <w:color w:val="000000"/>
          <w:sz w:val="24"/>
          <w:szCs w:val="24"/>
        </w:rPr>
        <w:t xml:space="preserve"> sont de :</w:t>
      </w:r>
    </w:p>
    <w:p w:rsidR="00A11748" w:rsidRDefault="005D7DF2">
      <w:pPr>
        <w:rPr>
          <w:b/>
          <w:color w:val="FFFFFF"/>
          <w:sz w:val="32"/>
          <w:szCs w:val="32"/>
        </w:rPr>
      </w:pPr>
      <w:r>
        <w:rPr>
          <w:noProof/>
        </w:rPr>
        <w:drawing>
          <wp:anchor distT="0" distB="0" distL="114300" distR="114300" simplePos="0" relativeHeight="251659264" behindDoc="0" locked="0" layoutInCell="1" hidden="0" allowOverlap="1">
            <wp:simplePos x="0" y="0"/>
            <wp:positionH relativeFrom="column">
              <wp:posOffset>86361</wp:posOffset>
            </wp:positionH>
            <wp:positionV relativeFrom="paragraph">
              <wp:posOffset>184785</wp:posOffset>
            </wp:positionV>
            <wp:extent cx="2568575" cy="204089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568575" cy="2040890"/>
                    </a:xfrm>
                    <a:prstGeom prst="rect">
                      <a:avLst/>
                    </a:prstGeom>
                    <a:ln/>
                  </pic:spPr>
                </pic:pic>
              </a:graphicData>
            </a:graphic>
          </wp:anchor>
        </w:drawing>
      </w:r>
    </w:p>
    <w:p w:rsidR="00A11748" w:rsidRDefault="005D7DF2">
      <w:pPr>
        <w:jc w:val="both"/>
        <w:rPr>
          <w:b/>
          <w:i/>
          <w:sz w:val="24"/>
          <w:szCs w:val="24"/>
        </w:rPr>
      </w:pPr>
      <w:r>
        <w:rPr>
          <w:b/>
          <w:sz w:val="24"/>
          <w:szCs w:val="24"/>
        </w:rPr>
        <w:t xml:space="preserve">- Etablir une représentation partagée d’une situation </w:t>
      </w:r>
    </w:p>
    <w:p w:rsidR="00A11748" w:rsidRDefault="005D7DF2">
      <w:pPr>
        <w:jc w:val="both"/>
        <w:rPr>
          <w:i/>
          <w:sz w:val="24"/>
          <w:szCs w:val="24"/>
        </w:rPr>
      </w:pPr>
      <w:r>
        <w:rPr>
          <w:i/>
          <w:sz w:val="24"/>
          <w:szCs w:val="24"/>
        </w:rPr>
        <w:t>Il s’agira de collecter ce que</w:t>
      </w:r>
      <w:r>
        <w:rPr>
          <w:b/>
          <w:i/>
          <w:sz w:val="24"/>
          <w:szCs w:val="24"/>
        </w:rPr>
        <w:t xml:space="preserve"> </w:t>
      </w:r>
      <w:r>
        <w:rPr>
          <w:i/>
          <w:sz w:val="24"/>
          <w:szCs w:val="24"/>
        </w:rPr>
        <w:t>savent, pensent, imaginent ou craignent les acteurs sollicités.</w:t>
      </w:r>
    </w:p>
    <w:p w:rsidR="00A11748" w:rsidRDefault="005D7DF2">
      <w:pPr>
        <w:jc w:val="both"/>
        <w:rPr>
          <w:i/>
          <w:sz w:val="24"/>
          <w:szCs w:val="24"/>
        </w:rPr>
      </w:pPr>
      <w:r>
        <w:rPr>
          <w:i/>
          <w:sz w:val="24"/>
          <w:szCs w:val="24"/>
        </w:rPr>
        <w:t>Afin de permettre la libre parole, il est fortement recommandé de constituer des groupes focus notamment pour éviter les rapports de forces entre acteurs n’ayant</w:t>
      </w:r>
      <w:r>
        <w:rPr>
          <w:i/>
          <w:sz w:val="24"/>
          <w:szCs w:val="24"/>
        </w:rPr>
        <w:t xml:space="preserve"> pas les mêmes enjeux. </w:t>
      </w:r>
    </w:p>
    <w:p w:rsidR="00A11748" w:rsidRDefault="005D7DF2">
      <w:pPr>
        <w:jc w:val="both"/>
        <w:rPr>
          <w:i/>
          <w:sz w:val="24"/>
          <w:szCs w:val="24"/>
        </w:rPr>
      </w:pPr>
      <w:r>
        <w:rPr>
          <w:i/>
          <w:sz w:val="24"/>
          <w:szCs w:val="24"/>
        </w:rPr>
        <w:t>Une fois l’ensemble des groupes focus consultés, les animateurs reclasseront thématiquement la production de chaque groupe et croiseront les thématiques.</w:t>
      </w:r>
    </w:p>
    <w:p w:rsidR="00A11748" w:rsidRDefault="005D7DF2">
      <w:pPr>
        <w:jc w:val="both"/>
        <w:rPr>
          <w:i/>
          <w:sz w:val="24"/>
          <w:szCs w:val="24"/>
        </w:rPr>
      </w:pPr>
      <w:r>
        <w:rPr>
          <w:i/>
          <w:sz w:val="24"/>
          <w:szCs w:val="24"/>
        </w:rPr>
        <w:t xml:space="preserve">L’objectif est de rendre compte de la zone de préoccupations partagées, des préoccupations de chacun. </w:t>
      </w:r>
    </w:p>
    <w:p w:rsidR="00A11748" w:rsidRDefault="005D7DF2">
      <w:pPr>
        <w:jc w:val="both"/>
        <w:rPr>
          <w:b/>
          <w:sz w:val="24"/>
          <w:szCs w:val="24"/>
        </w:rPr>
      </w:pPr>
      <w:r>
        <w:rPr>
          <w:b/>
          <w:sz w:val="24"/>
          <w:szCs w:val="24"/>
        </w:rPr>
        <w:lastRenderedPageBreak/>
        <w:t>- Restituer la représentation obtenue à l’ensemble des acteurs sollicités</w:t>
      </w:r>
    </w:p>
    <w:p w:rsidR="00A11748" w:rsidRDefault="005D7DF2">
      <w:pPr>
        <w:numPr>
          <w:ilvl w:val="0"/>
          <w:numId w:val="5"/>
        </w:numPr>
        <w:jc w:val="both"/>
        <w:rPr>
          <w:i/>
          <w:sz w:val="24"/>
          <w:szCs w:val="24"/>
        </w:rPr>
      </w:pPr>
      <w:r>
        <w:rPr>
          <w:i/>
          <w:sz w:val="24"/>
          <w:szCs w:val="24"/>
        </w:rPr>
        <w:t>Pour valider la représentation partagée obtenue</w:t>
      </w:r>
    </w:p>
    <w:p w:rsidR="00A11748" w:rsidRDefault="005D7DF2">
      <w:pPr>
        <w:numPr>
          <w:ilvl w:val="0"/>
          <w:numId w:val="5"/>
        </w:numPr>
        <w:jc w:val="both"/>
        <w:rPr>
          <w:i/>
          <w:sz w:val="24"/>
          <w:szCs w:val="24"/>
        </w:rPr>
      </w:pPr>
      <w:r>
        <w:rPr>
          <w:i/>
          <w:sz w:val="24"/>
          <w:szCs w:val="24"/>
        </w:rPr>
        <w:t xml:space="preserve"> Pour mettre en débat la pertin</w:t>
      </w:r>
      <w:r>
        <w:rPr>
          <w:i/>
          <w:sz w:val="24"/>
          <w:szCs w:val="24"/>
        </w:rPr>
        <w:t>ence des points identifiés</w:t>
      </w:r>
    </w:p>
    <w:p w:rsidR="00A11748" w:rsidRDefault="005D7DF2">
      <w:pPr>
        <w:numPr>
          <w:ilvl w:val="0"/>
          <w:numId w:val="5"/>
        </w:numPr>
        <w:jc w:val="both"/>
        <w:rPr>
          <w:i/>
          <w:sz w:val="24"/>
          <w:szCs w:val="24"/>
        </w:rPr>
      </w:pPr>
      <w:r>
        <w:rPr>
          <w:i/>
          <w:sz w:val="24"/>
          <w:szCs w:val="24"/>
        </w:rPr>
        <w:t xml:space="preserve"> Pour appeler</w:t>
      </w:r>
      <w:r>
        <w:rPr>
          <w:b/>
          <w:i/>
          <w:sz w:val="24"/>
          <w:szCs w:val="24"/>
        </w:rPr>
        <w:t xml:space="preserve"> </w:t>
      </w:r>
      <w:r>
        <w:rPr>
          <w:i/>
          <w:sz w:val="24"/>
          <w:szCs w:val="24"/>
        </w:rPr>
        <w:t>la participation à la formulation de propositions d’évolution</w:t>
      </w:r>
    </w:p>
    <w:p w:rsidR="00A11748" w:rsidRDefault="00A11748">
      <w:pPr>
        <w:ind w:left="720"/>
        <w:jc w:val="both"/>
        <w:rPr>
          <w:i/>
          <w:sz w:val="24"/>
          <w:szCs w:val="24"/>
        </w:rPr>
      </w:pPr>
    </w:p>
    <w:p w:rsidR="00A11748" w:rsidRDefault="005D7DF2">
      <w:pPr>
        <w:jc w:val="both"/>
        <w:rPr>
          <w:b/>
          <w:sz w:val="24"/>
          <w:szCs w:val="24"/>
        </w:rPr>
      </w:pPr>
      <w:r>
        <w:rPr>
          <w:b/>
          <w:sz w:val="24"/>
          <w:szCs w:val="24"/>
        </w:rPr>
        <w:t>-  Construire collectivement des propositions d’évolution par la concertation des acteurs volontaires ayant participé aux groupes focus</w:t>
      </w:r>
      <w:r>
        <w:rPr>
          <w:noProof/>
        </w:rPr>
        <w:drawing>
          <wp:anchor distT="36576" distB="36576" distL="36576" distR="36576" simplePos="0" relativeHeight="251660288" behindDoc="0" locked="0" layoutInCell="1" hidden="0" allowOverlap="1">
            <wp:simplePos x="0" y="0"/>
            <wp:positionH relativeFrom="column">
              <wp:posOffset>8619871</wp:posOffset>
            </wp:positionH>
            <wp:positionV relativeFrom="paragraph">
              <wp:posOffset>52451</wp:posOffset>
            </wp:positionV>
            <wp:extent cx="1299210" cy="977900"/>
            <wp:effectExtent l="0" t="0" r="0" b="0"/>
            <wp:wrapSquare wrapText="bothSides" distT="36576" distB="36576" distL="36576" distR="36576"/>
            <wp:docPr id="2" name="image1.jpg" descr="IMG_7208"/>
            <wp:cNvGraphicFramePr/>
            <a:graphic xmlns:a="http://schemas.openxmlformats.org/drawingml/2006/main">
              <a:graphicData uri="http://schemas.openxmlformats.org/drawingml/2006/picture">
                <pic:pic xmlns:pic="http://schemas.openxmlformats.org/drawingml/2006/picture">
                  <pic:nvPicPr>
                    <pic:cNvPr id="0" name="image1.jpg" descr="IMG_7208"/>
                    <pic:cNvPicPr preferRelativeResize="0"/>
                  </pic:nvPicPr>
                  <pic:blipFill>
                    <a:blip r:embed="rId7"/>
                    <a:srcRect/>
                    <a:stretch>
                      <a:fillRect/>
                    </a:stretch>
                  </pic:blipFill>
                  <pic:spPr>
                    <a:xfrm>
                      <a:off x="0" y="0"/>
                      <a:ext cx="1299210" cy="977900"/>
                    </a:xfrm>
                    <a:prstGeom prst="rect">
                      <a:avLst/>
                    </a:prstGeom>
                    <a:ln/>
                  </pic:spPr>
                </pic:pic>
              </a:graphicData>
            </a:graphic>
          </wp:anchor>
        </w:drawing>
      </w:r>
    </w:p>
    <w:p w:rsidR="00A11748" w:rsidRDefault="005D7DF2">
      <w:pPr>
        <w:jc w:val="both"/>
        <w:rPr>
          <w:i/>
          <w:sz w:val="24"/>
          <w:szCs w:val="24"/>
        </w:rPr>
      </w:pPr>
      <w:r>
        <w:rPr>
          <w:i/>
          <w:sz w:val="24"/>
          <w:szCs w:val="24"/>
        </w:rPr>
        <w:t>Il s’agira de c</w:t>
      </w:r>
      <w:r>
        <w:rPr>
          <w:i/>
          <w:sz w:val="24"/>
          <w:szCs w:val="24"/>
        </w:rPr>
        <w:t>onstituer des groupes par thématiques partagées et poursuivre la réflexion (quel but, quel objectif, quels acteurs incontournables, etc.)</w:t>
      </w:r>
    </w:p>
    <w:p w:rsidR="00A11748" w:rsidRDefault="005D7DF2">
      <w:pPr>
        <w:jc w:val="both"/>
        <w:rPr>
          <w:b/>
          <w:sz w:val="24"/>
          <w:szCs w:val="24"/>
        </w:rPr>
      </w:pPr>
      <w:r>
        <w:rPr>
          <w:b/>
          <w:sz w:val="24"/>
          <w:szCs w:val="24"/>
        </w:rPr>
        <w:t xml:space="preserve">-  Programmer les objectifs proposés. </w:t>
      </w:r>
    </w:p>
    <w:p w:rsidR="00A11748" w:rsidRDefault="005D7DF2">
      <w:pPr>
        <w:numPr>
          <w:ilvl w:val="0"/>
          <w:numId w:val="1"/>
        </w:numPr>
        <w:spacing w:after="0"/>
        <w:jc w:val="both"/>
        <w:rPr>
          <w:i/>
          <w:sz w:val="24"/>
          <w:szCs w:val="24"/>
        </w:rPr>
      </w:pPr>
      <w:r>
        <w:rPr>
          <w:i/>
          <w:sz w:val="24"/>
          <w:szCs w:val="24"/>
        </w:rPr>
        <w:t>Accord et validation des choix par le conseil d’administration</w:t>
      </w:r>
    </w:p>
    <w:p w:rsidR="00A11748" w:rsidRDefault="005D7DF2">
      <w:pPr>
        <w:numPr>
          <w:ilvl w:val="0"/>
          <w:numId w:val="1"/>
        </w:numPr>
        <w:spacing w:after="0"/>
        <w:jc w:val="both"/>
        <w:rPr>
          <w:i/>
          <w:sz w:val="24"/>
          <w:szCs w:val="24"/>
        </w:rPr>
      </w:pPr>
      <w:r>
        <w:rPr>
          <w:i/>
          <w:sz w:val="24"/>
          <w:szCs w:val="24"/>
        </w:rPr>
        <w:t xml:space="preserve">Restitution des </w:t>
      </w:r>
      <w:r>
        <w:rPr>
          <w:i/>
          <w:sz w:val="24"/>
          <w:szCs w:val="24"/>
        </w:rPr>
        <w:t>décisions prises par le conseil d’administration aux acteurs mobilisés</w:t>
      </w:r>
    </w:p>
    <w:p w:rsidR="00A11748" w:rsidRDefault="005D7DF2">
      <w:pPr>
        <w:numPr>
          <w:ilvl w:val="0"/>
          <w:numId w:val="1"/>
        </w:numPr>
        <w:spacing w:after="0"/>
        <w:jc w:val="both"/>
        <w:rPr>
          <w:i/>
          <w:sz w:val="24"/>
          <w:szCs w:val="24"/>
        </w:rPr>
      </w:pPr>
      <w:r>
        <w:rPr>
          <w:i/>
          <w:sz w:val="24"/>
          <w:szCs w:val="24"/>
        </w:rPr>
        <w:t xml:space="preserve">Communication du projet </w:t>
      </w:r>
    </w:p>
    <w:p w:rsidR="00A11748" w:rsidRDefault="00A11748">
      <w:pPr>
        <w:rPr>
          <w:b/>
        </w:rPr>
      </w:pPr>
    </w:p>
    <w:p w:rsidR="00A11748" w:rsidRDefault="005D7DF2">
      <w:pPr>
        <w:rPr>
          <w:b/>
        </w:rPr>
      </w:pPr>
      <w:r>
        <w:rPr>
          <w:b/>
        </w:rPr>
        <w:t xml:space="preserve">Méthode d’application : </w:t>
      </w:r>
    </w:p>
    <w:tbl>
      <w:tblPr>
        <w:tblStyle w:val="a0"/>
        <w:tblW w:w="156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7"/>
        <w:gridCol w:w="11907"/>
      </w:tblGrid>
      <w:tr w:rsidR="00A11748">
        <w:tc>
          <w:tcPr>
            <w:tcW w:w="3707" w:type="dxa"/>
          </w:tcPr>
          <w:p w:rsidR="00A11748" w:rsidRDefault="005D7DF2">
            <w:pPr>
              <w:rPr>
                <w:b/>
              </w:rPr>
            </w:pPr>
            <w:bookmarkStart w:id="0" w:name="_GoBack"/>
            <w:bookmarkEnd w:id="0"/>
            <w:r>
              <w:rPr>
                <w:b/>
              </w:rPr>
              <w:t xml:space="preserve">Comment </w:t>
            </w:r>
          </w:p>
        </w:tc>
        <w:tc>
          <w:tcPr>
            <w:tcW w:w="11907" w:type="dxa"/>
          </w:tcPr>
          <w:p w:rsidR="00A11748" w:rsidRDefault="005D7DF2">
            <w:pPr>
              <w:numPr>
                <w:ilvl w:val="0"/>
                <w:numId w:val="2"/>
              </w:numPr>
              <w:pBdr>
                <w:top w:val="nil"/>
                <w:left w:val="nil"/>
                <w:bottom w:val="nil"/>
                <w:right w:val="nil"/>
                <w:between w:val="nil"/>
              </w:pBdr>
              <w:spacing w:line="276" w:lineRule="auto"/>
              <w:rPr>
                <w:b/>
                <w:color w:val="000000"/>
              </w:rPr>
            </w:pPr>
            <w:r>
              <w:rPr>
                <w:b/>
                <w:color w:val="000000"/>
              </w:rPr>
              <w:t>Préparer avec l’équipe du centre la constitution des groupes, la question à poser, le choix des dates de l’animation des groupes et de restitution du travail</w:t>
            </w:r>
          </w:p>
          <w:p w:rsidR="00A11748" w:rsidRDefault="005D7DF2">
            <w:pPr>
              <w:numPr>
                <w:ilvl w:val="0"/>
                <w:numId w:val="2"/>
              </w:numPr>
              <w:pBdr>
                <w:top w:val="nil"/>
                <w:left w:val="nil"/>
                <w:bottom w:val="nil"/>
                <w:right w:val="nil"/>
                <w:between w:val="nil"/>
              </w:pBdr>
              <w:spacing w:line="276" w:lineRule="auto"/>
              <w:rPr>
                <w:b/>
                <w:color w:val="000000"/>
              </w:rPr>
            </w:pPr>
            <w:r>
              <w:rPr>
                <w:b/>
                <w:color w:val="000000"/>
              </w:rPr>
              <w:t>Animation de la séance :</w:t>
            </w:r>
          </w:p>
          <w:p w:rsidR="00A11748" w:rsidRDefault="005D7DF2">
            <w:pPr>
              <w:pBdr>
                <w:top w:val="nil"/>
                <w:left w:val="nil"/>
                <w:bottom w:val="nil"/>
                <w:right w:val="nil"/>
                <w:between w:val="nil"/>
              </w:pBdr>
              <w:spacing w:line="276" w:lineRule="auto"/>
              <w:ind w:left="720"/>
              <w:rPr>
                <w:b/>
                <w:color w:val="000000"/>
              </w:rPr>
            </w:pPr>
            <w:r>
              <w:rPr>
                <w:b/>
                <w:color w:val="000000"/>
              </w:rPr>
              <w:t>3 séquences :</w:t>
            </w:r>
          </w:p>
          <w:p w:rsidR="00A11748" w:rsidRDefault="005D7DF2">
            <w:pPr>
              <w:numPr>
                <w:ilvl w:val="0"/>
                <w:numId w:val="3"/>
              </w:numPr>
              <w:pBdr>
                <w:top w:val="nil"/>
                <w:left w:val="nil"/>
                <w:bottom w:val="nil"/>
                <w:right w:val="nil"/>
                <w:between w:val="nil"/>
              </w:pBdr>
              <w:spacing w:after="200" w:line="276" w:lineRule="auto"/>
              <w:rPr>
                <w:b/>
                <w:color w:val="000000"/>
              </w:rPr>
            </w:pPr>
            <w:r>
              <w:rPr>
                <w:b/>
                <w:color w:val="000000"/>
              </w:rPr>
              <w:t xml:space="preserve">Séquence collecte des idées des uns et des autres (45 min) </w:t>
            </w:r>
          </w:p>
          <w:p w:rsidR="00A11748" w:rsidRDefault="005D7DF2">
            <w:r>
              <w:t>Préciser qu’elle se déroulera sans débat et que l’animateur y veillera. Le système de vote de la 2eme séquence permettra de signifier son accord ou non sur l’item proposé. Préciser également que de ce fait, pas nécessaire que quelqu’un propose un item qui</w:t>
            </w:r>
            <w:r>
              <w:t xml:space="preserve"> l’exact contraire de ce qui vient d’être proposé. Les personnes pourront voter contre avec la couleur rouge. Les idées seront saisies pendant qu’ils les énonceront sous forme d’une phrase (item) formulée de façon affirmative avec un sujet, un verbe, un co</w:t>
            </w:r>
            <w:r>
              <w:t>mplément. Dire que l’on fera un item par idée. Donner une fourchette du nombre d’items qui pourront être produits par le groupe (30 à 35 items)</w:t>
            </w:r>
          </w:p>
          <w:p w:rsidR="00A11748" w:rsidRDefault="005D7DF2">
            <w:pPr>
              <w:numPr>
                <w:ilvl w:val="0"/>
                <w:numId w:val="3"/>
              </w:numPr>
              <w:pBdr>
                <w:top w:val="nil"/>
                <w:left w:val="nil"/>
                <w:bottom w:val="nil"/>
                <w:right w:val="nil"/>
                <w:between w:val="nil"/>
              </w:pBdr>
              <w:spacing w:after="200" w:line="276" w:lineRule="auto"/>
              <w:rPr>
                <w:b/>
                <w:color w:val="000000"/>
              </w:rPr>
            </w:pPr>
            <w:r>
              <w:rPr>
                <w:b/>
                <w:color w:val="000000"/>
              </w:rPr>
              <w:lastRenderedPageBreak/>
              <w:t xml:space="preserve">Séquence donner son point de vue avec l’abaque de Régnier : nuancier de couleurs : </w:t>
            </w:r>
            <w:r>
              <w:rPr>
                <w:b/>
                <w:color w:val="00B050"/>
              </w:rPr>
              <w:t xml:space="preserve">vert foncé </w:t>
            </w:r>
            <w:r>
              <w:rPr>
                <w:b/>
                <w:color w:val="000000"/>
              </w:rPr>
              <w:t xml:space="preserve">(accord), </w:t>
            </w:r>
            <w:r>
              <w:rPr>
                <w:b/>
                <w:color w:val="92D050"/>
              </w:rPr>
              <w:t>vert cla</w:t>
            </w:r>
            <w:r>
              <w:rPr>
                <w:b/>
                <w:color w:val="92D050"/>
              </w:rPr>
              <w:t xml:space="preserve">ir </w:t>
            </w:r>
            <w:r>
              <w:rPr>
                <w:b/>
                <w:color w:val="000000"/>
              </w:rPr>
              <w:t xml:space="preserve">(plutôt d’accord), </w:t>
            </w:r>
            <w:r>
              <w:rPr>
                <w:b/>
                <w:color w:val="FFC000"/>
              </w:rPr>
              <w:t>orange</w:t>
            </w:r>
            <w:r>
              <w:rPr>
                <w:b/>
                <w:color w:val="000000"/>
              </w:rPr>
              <w:t xml:space="preserve"> </w:t>
            </w:r>
            <w:proofErr w:type="gramStart"/>
            <w:r>
              <w:rPr>
                <w:b/>
                <w:color w:val="000000"/>
              </w:rPr>
              <w:t>( mitigé</w:t>
            </w:r>
            <w:proofErr w:type="gramEnd"/>
            <w:r>
              <w:rPr>
                <w:b/>
                <w:color w:val="000000"/>
              </w:rPr>
              <w:t xml:space="preserve">), </w:t>
            </w:r>
            <w:r>
              <w:rPr>
                <w:b/>
                <w:color w:val="FF66CC"/>
              </w:rPr>
              <w:t>rose</w:t>
            </w:r>
            <w:r>
              <w:rPr>
                <w:b/>
                <w:color w:val="000000"/>
              </w:rPr>
              <w:t xml:space="preserve"> (plutôt pas d’accord), </w:t>
            </w:r>
            <w:r>
              <w:rPr>
                <w:b/>
                <w:color w:val="FF0000"/>
              </w:rPr>
              <w:t>rouge</w:t>
            </w:r>
            <w:r>
              <w:rPr>
                <w:b/>
                <w:color w:val="000000"/>
              </w:rPr>
              <w:t xml:space="preserve"> (désaccord), </w:t>
            </w:r>
            <w:r>
              <w:rPr>
                <w:b/>
                <w:color w:val="FFFFFF"/>
                <w:shd w:val="clear" w:color="auto" w:fill="A6A6A6"/>
              </w:rPr>
              <w:t>blanc</w:t>
            </w:r>
            <w:r>
              <w:rPr>
                <w:b/>
                <w:color w:val="000000"/>
              </w:rPr>
              <w:t xml:space="preserve"> (besoin de précision), noir ( ne souhaite pas répondre) </w:t>
            </w:r>
          </w:p>
          <w:p w:rsidR="00A11748" w:rsidRDefault="005D7DF2">
            <w:r>
              <w:t xml:space="preserve">Les items produits seront soumis à un vote des participants. Chacun pourra à l’aide de gommettes ou boitiers (si l’URCS est équipé du logiciel </w:t>
            </w:r>
            <w:proofErr w:type="spellStart"/>
            <w:r>
              <w:t>color</w:t>
            </w:r>
            <w:proofErr w:type="spellEnd"/>
            <w:r>
              <w:t xml:space="preserve"> vote) muni d’un code couleur, dire son accord ou désaccord ou son hésitation sur l’idée proposé dans les it</w:t>
            </w:r>
            <w:r>
              <w:t xml:space="preserve">ems. Le temps du vote est </w:t>
            </w:r>
            <w:proofErr w:type="spellStart"/>
            <w:r>
              <w:t>env</w:t>
            </w:r>
            <w:proofErr w:type="spellEnd"/>
            <w:r>
              <w:t xml:space="preserve"> 15 min. Les résultats apparaitront immédiatement (les items qui sont consensus, ceux qui produisent du désaccord)</w:t>
            </w:r>
          </w:p>
          <w:p w:rsidR="00A11748" w:rsidRDefault="00A11748">
            <w:pPr>
              <w:rPr>
                <w:b/>
              </w:rPr>
            </w:pPr>
          </w:p>
          <w:p w:rsidR="00A11748" w:rsidRDefault="005D7DF2">
            <w:pPr>
              <w:numPr>
                <w:ilvl w:val="0"/>
                <w:numId w:val="3"/>
              </w:numPr>
              <w:pBdr>
                <w:top w:val="nil"/>
                <w:left w:val="nil"/>
                <w:bottom w:val="nil"/>
                <w:right w:val="nil"/>
                <w:between w:val="nil"/>
              </w:pBdr>
              <w:spacing w:after="200" w:line="276" w:lineRule="auto"/>
            </w:pPr>
            <w:r>
              <w:rPr>
                <w:b/>
                <w:color w:val="000000"/>
              </w:rPr>
              <w:t>Séquence Débat et prise de note pour les animateurs</w:t>
            </w:r>
          </w:p>
          <w:p w:rsidR="00A11748" w:rsidRDefault="005D7DF2">
            <w:r>
              <w:t xml:space="preserve">Elle dure </w:t>
            </w:r>
            <w:proofErr w:type="spellStart"/>
            <w:r>
              <w:t>env</w:t>
            </w:r>
            <w:proofErr w:type="spellEnd"/>
            <w:r>
              <w:t xml:space="preserve"> 1h30. Elle est consacrée à un débat d’explica</w:t>
            </w:r>
            <w:r>
              <w:t xml:space="preserve">tion des différents points de vue. Le débat peut être enregistré : pour ne rien perdre de toutes les idées partagées et éviter toute interprétation pour le traitement des items après. Garantir à tous les groupes que le traitement sera anonyme. </w:t>
            </w:r>
          </w:p>
        </w:tc>
      </w:tr>
      <w:tr w:rsidR="00A11748">
        <w:tc>
          <w:tcPr>
            <w:tcW w:w="3707" w:type="dxa"/>
          </w:tcPr>
          <w:p w:rsidR="00A11748" w:rsidRDefault="005D7DF2">
            <w:pPr>
              <w:rPr>
                <w:b/>
              </w:rPr>
            </w:pPr>
            <w:r>
              <w:rPr>
                <w:b/>
              </w:rPr>
              <w:lastRenderedPageBreak/>
              <w:t>Avec qui</w:t>
            </w:r>
          </w:p>
        </w:tc>
        <w:tc>
          <w:tcPr>
            <w:tcW w:w="11907" w:type="dxa"/>
          </w:tcPr>
          <w:p w:rsidR="00A11748" w:rsidRDefault="005D7DF2">
            <w:pPr>
              <w:rPr>
                <w:b/>
              </w:rPr>
            </w:pPr>
            <w:r>
              <w:rPr>
                <w:b/>
              </w:rPr>
              <w:t>E</w:t>
            </w:r>
            <w:r>
              <w:rPr>
                <w:b/>
              </w:rPr>
              <w:t xml:space="preserve">quipe du centre sur le traitement des items, possibilité aussi sur  la prise de note (sans intervention dans les débats) </w:t>
            </w:r>
          </w:p>
        </w:tc>
      </w:tr>
      <w:tr w:rsidR="00A11748">
        <w:tc>
          <w:tcPr>
            <w:tcW w:w="3707" w:type="dxa"/>
          </w:tcPr>
          <w:p w:rsidR="00A11748" w:rsidRDefault="005D7DF2">
            <w:pPr>
              <w:rPr>
                <w:b/>
              </w:rPr>
            </w:pPr>
            <w:r>
              <w:rPr>
                <w:b/>
              </w:rPr>
              <w:t>Pour qui</w:t>
            </w:r>
          </w:p>
        </w:tc>
        <w:tc>
          <w:tcPr>
            <w:tcW w:w="11907" w:type="dxa"/>
          </w:tcPr>
          <w:p w:rsidR="00A11748" w:rsidRDefault="005D7DF2">
            <w:pPr>
              <w:rPr>
                <w:b/>
              </w:rPr>
            </w:pPr>
            <w:r>
              <w:rPr>
                <w:b/>
              </w:rPr>
              <w:t>Habitants –conseil d’administration -  partenaires – élus – équipe du centre social</w:t>
            </w:r>
          </w:p>
        </w:tc>
      </w:tr>
    </w:tbl>
    <w:p w:rsidR="00A11748" w:rsidRDefault="00A11748">
      <w:pPr>
        <w:rPr>
          <w:b/>
        </w:rPr>
      </w:pPr>
    </w:p>
    <w:p w:rsidR="00A11748" w:rsidRDefault="005D7DF2">
      <w:pPr>
        <w:rPr>
          <w:b/>
        </w:rPr>
      </w:pPr>
      <w:r>
        <w:rPr>
          <w:b/>
        </w:rPr>
        <w:t>Points de vigilance pour l’utilisateur :</w:t>
      </w:r>
    </w:p>
    <w:p w:rsidR="00A11748" w:rsidRDefault="005D7DF2">
      <w:pPr>
        <w:numPr>
          <w:ilvl w:val="0"/>
          <w:numId w:val="4"/>
        </w:numPr>
        <w:pBdr>
          <w:top w:val="nil"/>
          <w:left w:val="nil"/>
          <w:bottom w:val="nil"/>
          <w:right w:val="nil"/>
          <w:between w:val="nil"/>
        </w:pBdr>
        <w:spacing w:after="0"/>
      </w:pPr>
      <w:r>
        <w:rPr>
          <w:color w:val="000000"/>
        </w:rPr>
        <w:t xml:space="preserve">Animation d’une séance entre 2h30 et 3H. </w:t>
      </w:r>
    </w:p>
    <w:p w:rsidR="00A11748" w:rsidRDefault="005D7DF2">
      <w:pPr>
        <w:numPr>
          <w:ilvl w:val="0"/>
          <w:numId w:val="4"/>
        </w:numPr>
        <w:pBdr>
          <w:top w:val="nil"/>
          <w:left w:val="nil"/>
          <w:bottom w:val="nil"/>
          <w:right w:val="nil"/>
          <w:between w:val="nil"/>
        </w:pBdr>
        <w:spacing w:after="0"/>
      </w:pPr>
      <w:r>
        <w:rPr>
          <w:color w:val="000000"/>
        </w:rPr>
        <w:t>Ne pas prendre part au débat</w:t>
      </w:r>
    </w:p>
    <w:p w:rsidR="00A11748" w:rsidRDefault="005D7DF2">
      <w:pPr>
        <w:numPr>
          <w:ilvl w:val="0"/>
          <w:numId w:val="4"/>
        </w:numPr>
        <w:pBdr>
          <w:top w:val="nil"/>
          <w:left w:val="nil"/>
          <w:bottom w:val="nil"/>
          <w:right w:val="nil"/>
          <w:between w:val="nil"/>
        </w:pBdr>
        <w:spacing w:after="0"/>
      </w:pPr>
      <w:r>
        <w:rPr>
          <w:color w:val="000000"/>
        </w:rPr>
        <w:t>Préciser que l’objet du débat ne sera pas de se convaincre les uns des autres pour se mettre d’accord ou trouver des solutions mais de comprendr</w:t>
      </w:r>
      <w:r>
        <w:rPr>
          <w:color w:val="000000"/>
        </w:rPr>
        <w:t>e comment et pourquoi une même idée peut être appréciée différemment. Intelligence collective !</w:t>
      </w:r>
    </w:p>
    <w:p w:rsidR="00A11748" w:rsidRDefault="005D7DF2">
      <w:pPr>
        <w:numPr>
          <w:ilvl w:val="0"/>
          <w:numId w:val="4"/>
        </w:numPr>
        <w:pBdr>
          <w:top w:val="nil"/>
          <w:left w:val="nil"/>
          <w:bottom w:val="nil"/>
          <w:right w:val="nil"/>
          <w:between w:val="nil"/>
        </w:pBdr>
      </w:pPr>
      <w:r>
        <w:rPr>
          <w:color w:val="000000"/>
        </w:rPr>
        <w:t>Préciser que les résultats seront croisés avec ceux des autres groupes pour voir tous acteurs confondus sur quoi il y a accord et sur quoi il y a désaccord. Ann</w:t>
      </w:r>
      <w:r>
        <w:rPr>
          <w:color w:val="000000"/>
        </w:rPr>
        <w:t>oncer la date de restitution !</w:t>
      </w:r>
    </w:p>
    <w:p w:rsidR="00A11748" w:rsidRDefault="00A11748">
      <w:bookmarkStart w:id="1" w:name="_smctmnp092nx" w:colFirst="0" w:colLast="0"/>
      <w:bookmarkEnd w:id="1"/>
    </w:p>
    <w:p w:rsidR="00A11748" w:rsidRDefault="00A11748">
      <w:bookmarkStart w:id="2" w:name="_riknd13tl7ca" w:colFirst="0" w:colLast="0"/>
      <w:bookmarkEnd w:id="2"/>
    </w:p>
    <w:p w:rsidR="00A11748" w:rsidRDefault="00A11748">
      <w:bookmarkStart w:id="3" w:name="_fvobg0uirmuo" w:colFirst="0" w:colLast="0"/>
      <w:bookmarkEnd w:id="3"/>
    </w:p>
    <w:p w:rsidR="00A11748" w:rsidRDefault="00A11748">
      <w:bookmarkStart w:id="4" w:name="_gzazn71jjezq" w:colFirst="0" w:colLast="0"/>
      <w:bookmarkEnd w:id="4"/>
    </w:p>
    <w:p w:rsidR="00A11748" w:rsidRDefault="00A11748">
      <w:bookmarkStart w:id="5" w:name="_j8rr3e5mbb5u" w:colFirst="0" w:colLast="0"/>
      <w:bookmarkEnd w:id="5"/>
    </w:p>
    <w:p w:rsidR="00A11748" w:rsidRDefault="00A11748">
      <w:bookmarkStart w:id="6" w:name="_gjdgxs" w:colFirst="0" w:colLast="0"/>
      <w:bookmarkEnd w:id="6"/>
    </w:p>
    <w:sectPr w:rsidR="00A11748">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51C"/>
    <w:multiLevelType w:val="multilevel"/>
    <w:tmpl w:val="45346C52"/>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81EBD"/>
    <w:multiLevelType w:val="multilevel"/>
    <w:tmpl w:val="DC728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727001"/>
    <w:multiLevelType w:val="multilevel"/>
    <w:tmpl w:val="59ACB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2A3A49"/>
    <w:multiLevelType w:val="multilevel"/>
    <w:tmpl w:val="7E283D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1B3A0A"/>
    <w:multiLevelType w:val="multilevel"/>
    <w:tmpl w:val="8BBAFE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8"/>
    <w:rsid w:val="005D7DF2"/>
    <w:rsid w:val="00A11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B3DA"/>
  <w15:docId w15:val="{C4F479CC-C84A-43E2-9BCC-737E933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dc:creator>
  <cp:lastModifiedBy>thierry coulomb</cp:lastModifiedBy>
  <cp:revision>2</cp:revision>
  <dcterms:created xsi:type="dcterms:W3CDTF">2019-11-13T08:44:00Z</dcterms:created>
  <dcterms:modified xsi:type="dcterms:W3CDTF">2019-11-13T08:44:00Z</dcterms:modified>
</cp:coreProperties>
</file>