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35" w:rsidRPr="007B3C35" w:rsidRDefault="007B3C35" w:rsidP="007B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  <w:sz w:val="34"/>
        </w:rPr>
      </w:pPr>
      <w:r w:rsidRPr="007B3C35">
        <w:rPr>
          <w:smallCaps/>
          <w:sz w:val="34"/>
        </w:rPr>
        <w:t xml:space="preserve">Les champs libres – réunion plénière du </w:t>
      </w:r>
      <w:r w:rsidRPr="007B3C35">
        <w:rPr>
          <w:smallCaps/>
          <w:sz w:val="34"/>
        </w:rPr>
        <w:t>19 janvier 2020</w:t>
      </w:r>
    </w:p>
    <w:p w:rsidR="00850956" w:rsidRPr="00894F50" w:rsidRDefault="007B3C35" w:rsidP="0089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  <w:sz w:val="34"/>
        </w:rPr>
      </w:pPr>
      <w:r w:rsidRPr="00894F50">
        <w:rPr>
          <w:smallCaps/>
          <w:sz w:val="34"/>
        </w:rPr>
        <w:t>Compte-rendu</w:t>
      </w:r>
    </w:p>
    <w:p w:rsidR="0005535D" w:rsidRDefault="0005535D"/>
    <w:p w:rsidR="001451DD" w:rsidRPr="001451DD" w:rsidRDefault="001451DD" w:rsidP="001451DD">
      <w:pPr>
        <w:pStyle w:val="Paragraphedeliste"/>
        <w:numPr>
          <w:ilvl w:val="0"/>
          <w:numId w:val="1"/>
        </w:numPr>
        <w:rPr>
          <w:b/>
          <w:smallCaps/>
        </w:rPr>
      </w:pPr>
      <w:r w:rsidRPr="001451DD">
        <w:rPr>
          <w:b/>
          <w:smallCaps/>
        </w:rPr>
        <w:t>Tour de table</w:t>
      </w:r>
    </w:p>
    <w:p w:rsidR="001451DD" w:rsidRPr="001451DD" w:rsidRDefault="001451DD" w:rsidP="0005535D">
      <w:pPr>
        <w:pStyle w:val="Paragraphedeliste"/>
        <w:numPr>
          <w:ilvl w:val="0"/>
          <w:numId w:val="1"/>
        </w:numPr>
        <w:rPr>
          <w:b/>
          <w:smallCaps/>
        </w:rPr>
      </w:pPr>
      <w:r>
        <w:rPr>
          <w:b/>
          <w:smallCaps/>
        </w:rPr>
        <w:t>Asso</w:t>
      </w:r>
      <w:r w:rsidRPr="001451DD">
        <w:rPr>
          <w:b/>
          <w:smallCaps/>
        </w:rPr>
        <w:t>c</w:t>
      </w:r>
      <w:r>
        <w:rPr>
          <w:b/>
          <w:smallCaps/>
        </w:rPr>
        <w:t>i</w:t>
      </w:r>
      <w:r w:rsidRPr="001451DD">
        <w:rPr>
          <w:b/>
          <w:smallCaps/>
        </w:rPr>
        <w:t>ation l’écloserie</w:t>
      </w:r>
    </w:p>
    <w:p w:rsidR="001451DD" w:rsidRDefault="0005535D" w:rsidP="001451DD">
      <w:pPr>
        <w:pStyle w:val="Paragraphedeliste"/>
        <w:ind w:left="360"/>
      </w:pPr>
      <w:r>
        <w:t>Règlement des cotisations 2020 (+rappel 2019 pour certains)</w:t>
      </w:r>
    </w:p>
    <w:p w:rsidR="0005535D" w:rsidRDefault="0005535D" w:rsidP="001451DD">
      <w:pPr>
        <w:pStyle w:val="Paragraphedeliste"/>
        <w:ind w:left="360"/>
      </w:pPr>
      <w:r>
        <w:t>NB : manque encore 5€ de 2019 pour Pauline et David</w:t>
      </w:r>
    </w:p>
    <w:p w:rsidR="0005535D" w:rsidRPr="001451DD" w:rsidRDefault="001451DD" w:rsidP="0005535D">
      <w:pPr>
        <w:pStyle w:val="Paragraphedeliste"/>
        <w:numPr>
          <w:ilvl w:val="0"/>
          <w:numId w:val="1"/>
        </w:numPr>
        <w:rPr>
          <w:b/>
          <w:smallCaps/>
        </w:rPr>
      </w:pPr>
      <w:r w:rsidRPr="001451DD">
        <w:rPr>
          <w:b/>
          <w:smallCaps/>
        </w:rPr>
        <w:t>Cercle jardin</w:t>
      </w:r>
    </w:p>
    <w:p w:rsidR="0005535D" w:rsidRDefault="0005535D" w:rsidP="0005535D">
      <w:pPr>
        <w:pStyle w:val="Paragraphedeliste"/>
        <w:numPr>
          <w:ilvl w:val="1"/>
          <w:numId w:val="1"/>
        </w:numPr>
      </w:pPr>
      <w:r>
        <w:t>Discussion avec le SEVE le 16 décembre : discussion de la contre-proposition du SEVE sur le jardin</w:t>
      </w:r>
    </w:p>
    <w:p w:rsidR="0005535D" w:rsidRDefault="0005535D" w:rsidP="0005535D">
      <w:pPr>
        <w:pStyle w:val="Paragraphedeliste"/>
        <w:numPr>
          <w:ilvl w:val="1"/>
          <w:numId w:val="1"/>
        </w:numPr>
      </w:pPr>
      <w:r>
        <w:t xml:space="preserve">SEVE propose une </w:t>
      </w:r>
      <w:commentRangeStart w:id="0"/>
      <w:r>
        <w:t xml:space="preserve">ouverture du fond du jardin </w:t>
      </w:r>
      <w:commentRangeEnd w:id="0"/>
      <w:r w:rsidR="008C5569">
        <w:rPr>
          <w:rStyle w:val="Marquedecommentaire"/>
        </w:rPr>
        <w:commentReference w:id="0"/>
      </w:r>
      <w:r>
        <w:t>vers l’impasse derrière et une allée large. Discussion constructive.</w:t>
      </w:r>
    </w:p>
    <w:p w:rsidR="0005535D" w:rsidRDefault="0005535D" w:rsidP="0005535D">
      <w:pPr>
        <w:pStyle w:val="Paragraphedeliste"/>
        <w:numPr>
          <w:ilvl w:val="1"/>
          <w:numId w:val="1"/>
        </w:numPr>
      </w:pPr>
      <w:r>
        <w:t>Toilette sèche publique : le type est important (pas de système de poubelles à vider…)</w:t>
      </w:r>
    </w:p>
    <w:p w:rsidR="001451DD" w:rsidRPr="001451DD" w:rsidRDefault="00507DBE" w:rsidP="0005535D">
      <w:pPr>
        <w:pStyle w:val="Paragraphedeliste"/>
        <w:numPr>
          <w:ilvl w:val="0"/>
          <w:numId w:val="1"/>
        </w:numPr>
      </w:pPr>
      <w:proofErr w:type="spellStart"/>
      <w:r w:rsidRPr="001451DD">
        <w:rPr>
          <w:b/>
          <w:smallCaps/>
        </w:rPr>
        <w:t>Mattermost</w:t>
      </w:r>
      <w:proofErr w:type="spellEnd"/>
    </w:p>
    <w:p w:rsidR="001451DD" w:rsidRDefault="00507DBE" w:rsidP="008C5569">
      <w:pPr>
        <w:pStyle w:val="Paragraphedeliste"/>
        <w:numPr>
          <w:ilvl w:val="1"/>
          <w:numId w:val="1"/>
        </w:numPr>
      </w:pPr>
      <w:r>
        <w:t xml:space="preserve">envoi par email vs. </w:t>
      </w:r>
      <w:r w:rsidR="004F163B">
        <w:t>u</w:t>
      </w:r>
      <w:r>
        <w:t xml:space="preserve">tilisation de @all sur </w:t>
      </w:r>
      <w:proofErr w:type="spellStart"/>
      <w:r>
        <w:t>Mattermost</w:t>
      </w:r>
      <w:proofErr w:type="spellEnd"/>
      <w:r w:rsidR="004F163B">
        <w:t xml:space="preserve"> : est-ce que tout le monde reçoit une notification par email lorsqu’on message lui est envoyé sur </w:t>
      </w:r>
      <w:proofErr w:type="spellStart"/>
      <w:r w:rsidR="004F163B">
        <w:t>Mattermost</w:t>
      </w:r>
      <w:proofErr w:type="spellEnd"/>
      <w:r w:rsidR="004F163B">
        <w:t> ?</w:t>
      </w:r>
    </w:p>
    <w:p w:rsidR="008C5569" w:rsidRDefault="00E82D81" w:rsidP="008C5569">
      <w:pPr>
        <w:pStyle w:val="Paragraphedeliste"/>
        <w:numPr>
          <w:ilvl w:val="1"/>
          <w:numId w:val="1"/>
        </w:numPr>
      </w:pPr>
      <w:r>
        <w:t>Cf. à la fin de compte-rendu « </w:t>
      </w:r>
      <w:r w:rsidR="008C5569">
        <w:t>Comment régler les notifications par email</w:t>
      </w:r>
      <w:r>
        <w:t> »</w:t>
      </w:r>
    </w:p>
    <w:p w:rsidR="001451DD" w:rsidRPr="001451DD" w:rsidRDefault="001451DD" w:rsidP="008C5569">
      <w:pPr>
        <w:pStyle w:val="Paragraphedeliste"/>
        <w:numPr>
          <w:ilvl w:val="1"/>
          <w:numId w:val="1"/>
        </w:numPr>
        <w:rPr>
          <w:color w:val="FF0000"/>
        </w:rPr>
      </w:pPr>
      <w:r w:rsidRPr="001451DD">
        <w:rPr>
          <w:color w:val="FF0000"/>
        </w:rPr>
        <w:t xml:space="preserve">En attendant d’être sûres que tout le monde reçoit bien les informations postées sur </w:t>
      </w:r>
      <w:proofErr w:type="spellStart"/>
      <w:r w:rsidRPr="001451DD">
        <w:rPr>
          <w:color w:val="FF0000"/>
        </w:rPr>
        <w:t>Mattermost</w:t>
      </w:r>
      <w:proofErr w:type="spellEnd"/>
      <w:r w:rsidRPr="001451DD">
        <w:rPr>
          <w:color w:val="FF0000"/>
        </w:rPr>
        <w:t xml:space="preserve">, pour toutes les informations importantes (invitation à une réunion, réponse attendue sur un sujet, compte-rendu de réunion…), doubler le message sur </w:t>
      </w:r>
      <w:proofErr w:type="spellStart"/>
      <w:r w:rsidRPr="001451DD">
        <w:rPr>
          <w:color w:val="FF0000"/>
        </w:rPr>
        <w:t>Mattermost</w:t>
      </w:r>
      <w:proofErr w:type="spellEnd"/>
      <w:r w:rsidRPr="001451DD">
        <w:rPr>
          <w:color w:val="FF0000"/>
        </w:rPr>
        <w:t>, d’un email à tous</w:t>
      </w:r>
    </w:p>
    <w:p w:rsidR="008C5569" w:rsidRDefault="008C5569" w:rsidP="008C5569"/>
    <w:p w:rsidR="006C1E1A" w:rsidRDefault="001451DD" w:rsidP="001451DD">
      <w:pPr>
        <w:pStyle w:val="Paragraphedeliste"/>
        <w:numPr>
          <w:ilvl w:val="0"/>
          <w:numId w:val="1"/>
        </w:numPr>
        <w:rPr>
          <w:b/>
          <w:smallCaps/>
        </w:rPr>
      </w:pPr>
      <w:r w:rsidRPr="001451DD">
        <w:rPr>
          <w:b/>
          <w:smallCaps/>
        </w:rPr>
        <w:t>Règlement de copropriété</w:t>
      </w:r>
    </w:p>
    <w:p w:rsidR="001451DD" w:rsidRPr="006C1E1A" w:rsidRDefault="001451DD" w:rsidP="006C1E1A">
      <w:pPr>
        <w:pStyle w:val="Paragraphedeliste"/>
        <w:numPr>
          <w:ilvl w:val="1"/>
          <w:numId w:val="1"/>
        </w:numPr>
        <w:rPr>
          <w:b/>
          <w:smallCaps/>
        </w:rPr>
      </w:pPr>
      <w:r>
        <w:t>Impression partagée par certains que le tour de parole de la dernière plénière n’a pas forcément suffit pour que tout le monde exprime ses craintes sur le “vivre ensemble” et/ou sur ce que le règlement de copropriété pourrait apporter (en + ou en -).</w:t>
      </w:r>
    </w:p>
    <w:p w:rsidR="004F163B" w:rsidRDefault="004F163B" w:rsidP="006C1E1A">
      <w:pPr>
        <w:pStyle w:val="Paragraphedeliste"/>
        <w:ind w:left="1080"/>
      </w:pPr>
      <w:commentRangeStart w:id="1"/>
      <w:r>
        <w:t>Cf. photos du tableau</w:t>
      </w:r>
      <w:commentRangeEnd w:id="1"/>
      <w:r w:rsidR="001451DD">
        <w:rPr>
          <w:rStyle w:val="Marquedecommentaire"/>
        </w:rPr>
        <w:commentReference w:id="1"/>
      </w:r>
      <w:r w:rsidR="006C1E1A" w:rsidRPr="006C1E1A">
        <w:t xml:space="preserve"> </w:t>
      </w:r>
      <w:r w:rsidR="006C1E1A">
        <w:t>de post-</w:t>
      </w:r>
      <w:proofErr w:type="spellStart"/>
      <w:r w:rsidR="006C1E1A">
        <w:t>its</w:t>
      </w:r>
      <w:proofErr w:type="spellEnd"/>
    </w:p>
    <w:p w:rsidR="001451DD" w:rsidRPr="001451DD" w:rsidRDefault="001451DD" w:rsidP="001451DD">
      <w:pPr>
        <w:rPr>
          <w:u w:val="single"/>
        </w:rPr>
      </w:pPr>
      <w:r w:rsidRPr="001451DD">
        <w:rPr>
          <w:u w:val="single"/>
        </w:rPr>
        <w:t>Echanges sur les articles du RC</w:t>
      </w:r>
    </w:p>
    <w:p w:rsidR="001451DD" w:rsidRDefault="00B3672C" w:rsidP="006C1E1A">
      <w:r>
        <w:t>Accord des présents sur 2 articles à ajouter :</w:t>
      </w:r>
    </w:p>
    <w:p w:rsidR="001D12E4" w:rsidRDefault="001D12E4" w:rsidP="00B3672C">
      <w:pPr>
        <w:pStyle w:val="Paragraphedeliste"/>
        <w:numPr>
          <w:ilvl w:val="1"/>
          <w:numId w:val="1"/>
        </w:numPr>
      </w:pPr>
      <w:r>
        <w:t>Etienne</w:t>
      </w:r>
      <w:r w:rsidR="00B3672C">
        <w:t xml:space="preserve"> rédige un § sur le</w:t>
      </w:r>
      <w:r>
        <w:t xml:space="preserve"> principe participatif du projet</w:t>
      </w:r>
      <w:r w:rsidR="00B3672C">
        <w:t xml:space="preserve"> (à mettre dans l’intro et/ou ailleurs également ?)</w:t>
      </w:r>
    </w:p>
    <w:p w:rsidR="001D12E4" w:rsidRDefault="001D12E4" w:rsidP="00B3672C">
      <w:pPr>
        <w:pStyle w:val="Paragraphedeliste"/>
        <w:numPr>
          <w:ilvl w:val="1"/>
          <w:numId w:val="1"/>
        </w:numPr>
      </w:pPr>
      <w:r>
        <w:t>Benoit</w:t>
      </w:r>
      <w:r w:rsidR="00B3672C">
        <w:t xml:space="preserve"> propose un article sur une</w:t>
      </w:r>
      <w:r>
        <w:t xml:space="preserve"> procédure de médiation</w:t>
      </w:r>
      <w:r w:rsidR="00B3672C">
        <w:t>. L’objectif est de définir des étapes pour régler une difficulté entre les habitants.</w:t>
      </w:r>
    </w:p>
    <w:p w:rsidR="000C1BA9" w:rsidRPr="000C1BA9" w:rsidRDefault="00B3672C" w:rsidP="000C1BA9">
      <w:r w:rsidRPr="006C1E1A">
        <w:rPr>
          <w:b/>
        </w:rPr>
        <w:t>Répartition des charges</w:t>
      </w:r>
      <w:r w:rsidR="000C1BA9">
        <w:rPr>
          <w:b/>
        </w:rPr>
        <w:t xml:space="preserve"> </w:t>
      </w:r>
      <w:r w:rsidR="000C1BA9" w:rsidRPr="000C1BA9">
        <w:t>(PARTIE II du RC- chapitre II - 1 Parties communes et charges)</w:t>
      </w:r>
    </w:p>
    <w:p w:rsidR="000C1BA9" w:rsidRPr="000C1BA9" w:rsidRDefault="000C1BA9" w:rsidP="000C1BA9">
      <w:pPr>
        <w:rPr>
          <w:bCs/>
        </w:rPr>
      </w:pPr>
      <w:r w:rsidRPr="000C1BA9">
        <w:rPr>
          <w:bCs/>
        </w:rPr>
        <w:t xml:space="preserve">Quelques remarques : </w:t>
      </w:r>
    </w:p>
    <w:p w:rsidR="000C1BA9" w:rsidRPr="000C1BA9" w:rsidRDefault="000C1BA9" w:rsidP="000C1BA9">
      <w:pPr>
        <w:ind w:left="567"/>
      </w:pPr>
      <w:r w:rsidRPr="000C1BA9">
        <w:lastRenderedPageBreak/>
        <w:t xml:space="preserve">P22-23 : rappeler aux géomètres d’ajouter à la description des parties communes : la terrasse, les </w:t>
      </w:r>
      <w:proofErr w:type="spellStart"/>
      <w:r w:rsidRPr="000C1BA9">
        <w:t>carports</w:t>
      </w:r>
      <w:proofErr w:type="spellEnd"/>
      <w:r w:rsidRPr="000C1BA9">
        <w:t xml:space="preserve">, un local vélo (il n’y en a qu’un seul de mentionné pour le moment) </w:t>
      </w:r>
    </w:p>
    <w:p w:rsidR="000C1BA9" w:rsidRPr="000C1BA9" w:rsidRDefault="000C1BA9" w:rsidP="000C1BA9">
      <w:pPr>
        <w:ind w:left="567"/>
      </w:pPr>
      <w:r w:rsidRPr="000C1BA9">
        <w:t>P22 : à clarifier : la totalité du sol est partie commune ? Même ceux de nos logements ?</w:t>
      </w:r>
    </w:p>
    <w:p w:rsidR="000C1BA9" w:rsidRPr="006C1E1A" w:rsidRDefault="000C1BA9" w:rsidP="006C1E1A">
      <w:pPr>
        <w:rPr>
          <w:b/>
        </w:rPr>
      </w:pPr>
    </w:p>
    <w:p w:rsidR="0094125F" w:rsidRDefault="0094125F" w:rsidP="006C1E1A">
      <w:pPr>
        <w:rPr>
          <w:bCs/>
          <w:u w:val="single"/>
        </w:rPr>
      </w:pPr>
      <w:r>
        <w:rPr>
          <w:bCs/>
          <w:u w:val="single"/>
        </w:rPr>
        <w:t xml:space="preserve">1 – </w:t>
      </w:r>
      <w:r>
        <w:rPr>
          <w:bCs/>
          <w:u w:val="single"/>
        </w:rPr>
        <w:t xml:space="preserve">[Pour les charges correspondants à </w:t>
      </w:r>
      <w:r>
        <w:rPr>
          <w:bCs/>
          <w:u w:val="single"/>
        </w:rPr>
        <w:t>toute la copropriété</w:t>
      </w:r>
      <w:r>
        <w:rPr>
          <w:bCs/>
          <w:u w:val="single"/>
        </w:rPr>
        <w:t xml:space="preserve"> (</w:t>
      </w:r>
      <w:r>
        <w:rPr>
          <w:bCs/>
          <w:u w:val="single"/>
        </w:rPr>
        <w:t>taxe ordure, frais de syndic</w:t>
      </w:r>
      <w:r>
        <w:rPr>
          <w:bCs/>
          <w:u w:val="single"/>
        </w:rPr>
        <w:t xml:space="preserve">…)] </w:t>
      </w:r>
      <w:r w:rsidRPr="004F3A4D">
        <w:rPr>
          <w:bCs/>
        </w:rPr>
        <w:t xml:space="preserve">Répartition des charges </w:t>
      </w:r>
      <w:r w:rsidR="004F3A4D" w:rsidRPr="004F3A4D">
        <w:rPr>
          <w:bCs/>
        </w:rPr>
        <w:t xml:space="preserve">au </w:t>
      </w:r>
      <w:r w:rsidRPr="004F3A4D">
        <w:rPr>
          <w:bCs/>
        </w:rPr>
        <w:t>prorata de</w:t>
      </w:r>
      <w:r w:rsidR="004F3A4D" w:rsidRPr="004F3A4D">
        <w:rPr>
          <w:bCs/>
        </w:rPr>
        <w:t xml:space="preserve"> la</w:t>
      </w:r>
      <w:r w:rsidRPr="004F3A4D">
        <w:rPr>
          <w:bCs/>
        </w:rPr>
        <w:t xml:space="preserve"> surfa</w:t>
      </w:r>
      <w:r w:rsidR="004F3A4D" w:rsidRPr="004F3A4D">
        <w:rPr>
          <w:bCs/>
        </w:rPr>
        <w:t>ce</w:t>
      </w:r>
      <w:r w:rsidRPr="004F3A4D">
        <w:rPr>
          <w:bCs/>
        </w:rPr>
        <w:t xml:space="preserve"> dont chacun est propriétaire dans </w:t>
      </w:r>
      <w:r w:rsidR="004F3A4D" w:rsidRPr="004F3A4D">
        <w:rPr>
          <w:bCs/>
        </w:rPr>
        <w:t xml:space="preserve">la </w:t>
      </w:r>
      <w:proofErr w:type="spellStart"/>
      <w:r w:rsidRPr="004F3A4D">
        <w:rPr>
          <w:bCs/>
        </w:rPr>
        <w:t>copro</w:t>
      </w:r>
      <w:proofErr w:type="spellEnd"/>
      <w:r w:rsidR="004F3A4D" w:rsidRPr="004F3A4D">
        <w:rPr>
          <w:bCs/>
        </w:rPr>
        <w:t xml:space="preserve"> ou autre clé de répartition ?</w:t>
      </w:r>
    </w:p>
    <w:p w:rsidR="0094125F" w:rsidRPr="0094125F" w:rsidRDefault="0094125F" w:rsidP="0094125F">
      <w:pPr>
        <w:shd w:val="clear" w:color="auto" w:fill="D9D9D9" w:themeFill="background1" w:themeFillShade="D9"/>
        <w:ind w:left="567"/>
      </w:pPr>
      <w:r w:rsidRPr="0094125F">
        <w:t>1.1.Parties Communes Générales</w:t>
      </w:r>
    </w:p>
    <w:p w:rsidR="0094125F" w:rsidRDefault="0094125F" w:rsidP="0094125F">
      <w:pPr>
        <w:shd w:val="clear" w:color="auto" w:fill="D9D9D9" w:themeFill="background1" w:themeFillShade="D9"/>
        <w:ind w:left="567"/>
      </w:pPr>
      <w:r w:rsidRPr="0094125F">
        <w:t>Les parties communes sont celles qui ne sont pas affectées à l'usage exclusif d'un copropriétaire. Elles sont à l'usage de tous les copropriétaires.</w:t>
      </w:r>
    </w:p>
    <w:p w:rsidR="0094125F" w:rsidRDefault="0094125F" w:rsidP="0094125F">
      <w:pPr>
        <w:shd w:val="clear" w:color="auto" w:fill="D9D9D9" w:themeFill="background1" w:themeFillShade="D9"/>
        <w:ind w:left="567"/>
      </w:pPr>
      <w:r>
        <w:t>(…)</w:t>
      </w:r>
    </w:p>
    <w:p w:rsidR="0094125F" w:rsidRDefault="0094125F" w:rsidP="0094125F">
      <w:pPr>
        <w:shd w:val="clear" w:color="auto" w:fill="D9D9D9" w:themeFill="background1" w:themeFillShade="D9"/>
        <w:ind w:left="567"/>
      </w:pPr>
      <w:r>
        <w:t>Charges générales</w:t>
      </w:r>
    </w:p>
    <w:p w:rsidR="0094125F" w:rsidRPr="0094125F" w:rsidRDefault="0094125F" w:rsidP="0094125F">
      <w:pPr>
        <w:shd w:val="clear" w:color="auto" w:fill="D9D9D9" w:themeFill="background1" w:themeFillShade="D9"/>
        <w:ind w:left="567"/>
      </w:pPr>
      <w:r>
        <w:t xml:space="preserve">Les copropriétaires sont tenus de participer aux charges relatives à la conservation, à l’entretien et à l’administration de l’ensemble immobilier </w:t>
      </w:r>
      <w:r w:rsidRPr="0094125F">
        <w:rPr>
          <w:color w:val="E36C0A" w:themeColor="accent6" w:themeShade="BF"/>
        </w:rPr>
        <w:t>proportionnellement aux valeurs relatives des parties privatives comprises dans leur lot</w:t>
      </w:r>
      <w:r>
        <w:t>, par rapport à la propriété dans son ensemble.</w:t>
      </w:r>
    </w:p>
    <w:p w:rsidR="0094125F" w:rsidRDefault="004F3A4D" w:rsidP="006C1E1A">
      <w:pPr>
        <w:rPr>
          <w:bCs/>
        </w:rPr>
      </w:pPr>
      <w:r>
        <w:rPr>
          <w:bCs/>
        </w:rPr>
        <w:t xml:space="preserve">A principalement été discutée la question de la taxe </w:t>
      </w:r>
      <w:r w:rsidRPr="004F3A4D">
        <w:rPr>
          <w:bCs/>
        </w:rPr>
        <w:t>ordures (~env. 140€/</w:t>
      </w:r>
      <w:r>
        <w:rPr>
          <w:bCs/>
        </w:rPr>
        <w:t>an/foyer</w:t>
      </w:r>
      <w:r w:rsidRPr="004F3A4D">
        <w:rPr>
          <w:bCs/>
        </w:rPr>
        <w:t xml:space="preserve"> aujourd’hui à NM)</w:t>
      </w:r>
      <w:r>
        <w:rPr>
          <w:bCs/>
        </w:rPr>
        <w:t>. Mais il y a d’autres charges qu’il faudrait peut-être discuter…</w:t>
      </w:r>
    </w:p>
    <w:p w:rsidR="004F3A4D" w:rsidRDefault="004F3A4D" w:rsidP="006C1E1A">
      <w:pPr>
        <w:rPr>
          <w:bCs/>
        </w:rPr>
      </w:pPr>
      <w:r>
        <w:rPr>
          <w:bCs/>
        </w:rPr>
        <w:t>Pour la taxe ordure sont proposés 3 mode</w:t>
      </w:r>
      <w:r w:rsidR="00A544E5">
        <w:rPr>
          <w:bCs/>
        </w:rPr>
        <w:t>s</w:t>
      </w:r>
      <w:r>
        <w:rPr>
          <w:bCs/>
        </w:rPr>
        <w:t xml:space="preserve"> de répartition :</w:t>
      </w:r>
    </w:p>
    <w:p w:rsidR="004F3A4D" w:rsidRDefault="004F3A4D" w:rsidP="004F3A4D">
      <w:pPr>
        <w:pStyle w:val="Paragraphedeliste"/>
        <w:numPr>
          <w:ilvl w:val="0"/>
          <w:numId w:val="3"/>
        </w:numPr>
        <w:rPr>
          <w:bCs/>
        </w:rPr>
      </w:pPr>
      <w:r>
        <w:rPr>
          <w:bCs/>
        </w:rPr>
        <w:t>Par surface</w:t>
      </w:r>
    </w:p>
    <w:p w:rsidR="004F3A4D" w:rsidRDefault="004F3A4D" w:rsidP="004F3A4D">
      <w:pPr>
        <w:pStyle w:val="Paragraphedeliste"/>
        <w:numPr>
          <w:ilvl w:val="0"/>
          <w:numId w:val="3"/>
        </w:numPr>
        <w:rPr>
          <w:bCs/>
        </w:rPr>
      </w:pPr>
      <w:r>
        <w:rPr>
          <w:bCs/>
        </w:rPr>
        <w:t>Par nombre d’habitants par logement (potentiellement changeant, intrusif dans la vie privée, pas forcément plus significatif que la surface sur la production de déchets…)</w:t>
      </w:r>
    </w:p>
    <w:p w:rsidR="004F3A4D" w:rsidRPr="004F3A4D" w:rsidRDefault="004F3A4D" w:rsidP="004F3A4D">
      <w:pPr>
        <w:pStyle w:val="Paragraphedeliste"/>
        <w:numPr>
          <w:ilvl w:val="0"/>
          <w:numId w:val="3"/>
        </w:numPr>
        <w:rPr>
          <w:bCs/>
        </w:rPr>
      </w:pPr>
      <w:r>
        <w:rPr>
          <w:bCs/>
        </w:rPr>
        <w:t>Par poids des poubelles (contraignant techniquement)</w:t>
      </w:r>
    </w:p>
    <w:p w:rsidR="004F3A4D" w:rsidRDefault="004F3A4D" w:rsidP="004F3A4D">
      <w:pPr>
        <w:rPr>
          <w:highlight w:val="yellow"/>
        </w:rPr>
      </w:pPr>
      <w:r w:rsidRPr="00B3672C">
        <w:rPr>
          <w:smallCaps/>
          <w:color w:val="FF0000"/>
          <w:highlight w:val="yellow"/>
        </w:rPr>
        <w:t xml:space="preserve">Décision : </w:t>
      </w:r>
      <w:r>
        <w:rPr>
          <w:highlight w:val="yellow"/>
        </w:rPr>
        <w:t>accord</w:t>
      </w:r>
      <w:r w:rsidRPr="0040108D">
        <w:rPr>
          <w:highlight w:val="yellow"/>
        </w:rPr>
        <w:t xml:space="preserve"> </w:t>
      </w:r>
      <w:r>
        <w:rPr>
          <w:highlight w:val="yellow"/>
        </w:rPr>
        <w:t xml:space="preserve">des présents </w:t>
      </w:r>
      <w:r>
        <w:rPr>
          <w:highlight w:val="yellow"/>
        </w:rPr>
        <w:t xml:space="preserve">pour la répartition de la taxe ordure au prorata de la surface </w:t>
      </w:r>
      <w:r>
        <w:rPr>
          <w:highlight w:val="yellow"/>
        </w:rPr>
        <w:t>[il semble difficile et complexe de faire autrement, pour un enjeu financier minime &gt;&gt; par contre, utiliser le règlement intérieur pour mettre en place des bonnes pratiques de gestion des déchets]</w:t>
      </w:r>
    </w:p>
    <w:p w:rsidR="004F3A4D" w:rsidRDefault="004F3A4D" w:rsidP="004F3A4D">
      <w:pPr>
        <w:ind w:firstLine="360"/>
      </w:pPr>
      <w:r w:rsidRPr="006C1E1A">
        <w:rPr>
          <w:highlight w:val="yellow"/>
        </w:rPr>
        <w:t>Les absents sont appelés à se prononcer</w:t>
      </w:r>
    </w:p>
    <w:p w:rsidR="004F3A4D" w:rsidRDefault="004F3A4D" w:rsidP="004F3A4D">
      <w:pPr>
        <w:tabs>
          <w:tab w:val="left" w:pos="426"/>
        </w:tabs>
        <w:ind w:left="426"/>
      </w:pPr>
      <w:r w:rsidRPr="004F3A4D">
        <w:rPr>
          <w:highlight w:val="green"/>
        </w:rPr>
        <w:t>Discuter en proc</w:t>
      </w:r>
      <w:r w:rsidR="00894F50">
        <w:rPr>
          <w:highlight w:val="green"/>
        </w:rPr>
        <w:t>haine plénière des autres taxes</w:t>
      </w:r>
    </w:p>
    <w:p w:rsidR="004F3A4D" w:rsidRPr="0094125F" w:rsidRDefault="004F3A4D" w:rsidP="006C1E1A">
      <w:pPr>
        <w:rPr>
          <w:bCs/>
        </w:rPr>
      </w:pPr>
      <w:bookmarkStart w:id="2" w:name="_GoBack"/>
      <w:bookmarkEnd w:id="2"/>
    </w:p>
    <w:p w:rsidR="00B3672C" w:rsidRPr="006C1E1A" w:rsidRDefault="0094125F" w:rsidP="006C1E1A">
      <w:pPr>
        <w:rPr>
          <w:bCs/>
          <w:u w:val="single"/>
        </w:rPr>
      </w:pPr>
      <w:r>
        <w:rPr>
          <w:bCs/>
          <w:u w:val="single"/>
        </w:rPr>
        <w:t>2</w:t>
      </w:r>
      <w:r w:rsidR="00B3672C" w:rsidRPr="006C1E1A">
        <w:rPr>
          <w:bCs/>
          <w:u w:val="single"/>
        </w:rPr>
        <w:t xml:space="preserve"> – </w:t>
      </w:r>
      <w:r>
        <w:rPr>
          <w:bCs/>
          <w:u w:val="single"/>
        </w:rPr>
        <w:t>[P</w:t>
      </w:r>
      <w:r>
        <w:rPr>
          <w:bCs/>
          <w:u w:val="single"/>
        </w:rPr>
        <w:t>our les charges correspondants à un bâtiment donné (réparation…)</w:t>
      </w:r>
      <w:r>
        <w:rPr>
          <w:bCs/>
          <w:u w:val="single"/>
        </w:rPr>
        <w:t>] R</w:t>
      </w:r>
      <w:r w:rsidR="00B3672C" w:rsidRPr="006C1E1A">
        <w:rPr>
          <w:bCs/>
          <w:u w:val="single"/>
        </w:rPr>
        <w:t xml:space="preserve">épartition des charges </w:t>
      </w:r>
      <w:r>
        <w:rPr>
          <w:bCs/>
          <w:u w:val="single"/>
        </w:rPr>
        <w:t>entre les copropriétaires du</w:t>
      </w:r>
      <w:r w:rsidR="00B3672C" w:rsidRPr="006C1E1A">
        <w:rPr>
          <w:bCs/>
          <w:u w:val="single"/>
        </w:rPr>
        <w:t xml:space="preserve"> bâtiment ou collectivement ?</w:t>
      </w:r>
      <w:r w:rsidR="00915F0B">
        <w:rPr>
          <w:bCs/>
          <w:u w:val="single"/>
        </w:rPr>
        <w:t xml:space="preserve"> (Article 1.2.1)</w:t>
      </w:r>
    </w:p>
    <w:p w:rsidR="00915F0B" w:rsidRDefault="00915F0B" w:rsidP="00915F0B">
      <w:pPr>
        <w:shd w:val="clear" w:color="auto" w:fill="D9D9D9" w:themeFill="background1" w:themeFillShade="D9"/>
        <w:ind w:left="567"/>
      </w:pPr>
      <w:r>
        <w:t xml:space="preserve">Article </w:t>
      </w:r>
      <w:r>
        <w:t>1.2.Parties Communes Spéciales</w:t>
      </w:r>
    </w:p>
    <w:p w:rsidR="00915F0B" w:rsidRDefault="00915F0B" w:rsidP="00915F0B">
      <w:pPr>
        <w:shd w:val="clear" w:color="auto" w:fill="D9D9D9" w:themeFill="background1" w:themeFillShade="D9"/>
        <w:ind w:left="567"/>
      </w:pPr>
      <w:r>
        <w:lastRenderedPageBreak/>
        <w:t xml:space="preserve">Les parties communes spéciales sont des </w:t>
      </w:r>
      <w:r w:rsidRPr="0094125F">
        <w:rPr>
          <w:color w:val="E36C0A" w:themeColor="accent6" w:themeShade="BF"/>
        </w:rPr>
        <w:t>parties communes qui sont affectées à l’usage d’un groupe déterminé de copropriétaires</w:t>
      </w:r>
      <w:r>
        <w:t>.</w:t>
      </w:r>
    </w:p>
    <w:p w:rsidR="00915F0B" w:rsidRDefault="00915F0B" w:rsidP="00915F0B">
      <w:pPr>
        <w:shd w:val="clear" w:color="auto" w:fill="D9D9D9" w:themeFill="background1" w:themeFillShade="D9"/>
        <w:ind w:left="567"/>
      </w:pPr>
      <w:r>
        <w:t>Conformément à l’article n°6-2 de la loi de 1965, seuls prennent part au vote les copropriétaires à l’usage et l’utilité desquels sont affectées ces parties communes.</w:t>
      </w:r>
    </w:p>
    <w:p w:rsidR="00915F0B" w:rsidRDefault="00915F0B" w:rsidP="00915F0B">
      <w:pPr>
        <w:ind w:left="567"/>
      </w:pPr>
    </w:p>
    <w:p w:rsidR="00915F0B" w:rsidRDefault="00915F0B" w:rsidP="00915F0B">
      <w:pPr>
        <w:shd w:val="clear" w:color="auto" w:fill="D9D9D9" w:themeFill="background1" w:themeFillShade="D9"/>
        <w:ind w:left="567"/>
      </w:pPr>
      <w:r>
        <w:t xml:space="preserve">Article </w:t>
      </w:r>
      <w:r w:rsidRPr="00915F0B">
        <w:t>1.2.1. Parties Communes Spéciales de Bâtiment</w:t>
      </w:r>
    </w:p>
    <w:p w:rsidR="00915F0B" w:rsidRDefault="00915F0B" w:rsidP="00915F0B">
      <w:pPr>
        <w:shd w:val="clear" w:color="auto" w:fill="D9D9D9" w:themeFill="background1" w:themeFillShade="D9"/>
        <w:ind w:left="567"/>
      </w:pPr>
      <w:r>
        <w:t>(…)</w:t>
      </w:r>
    </w:p>
    <w:p w:rsidR="00915F0B" w:rsidRDefault="00915F0B" w:rsidP="00915F0B">
      <w:pPr>
        <w:shd w:val="clear" w:color="auto" w:fill="D9D9D9" w:themeFill="background1" w:themeFillShade="D9"/>
        <w:ind w:left="567"/>
      </w:pPr>
      <w:r>
        <w:t>Répartition</w:t>
      </w:r>
    </w:p>
    <w:p w:rsidR="00915F0B" w:rsidRDefault="00915F0B" w:rsidP="00915F0B">
      <w:pPr>
        <w:shd w:val="clear" w:color="auto" w:fill="D9D9D9" w:themeFill="background1" w:themeFillShade="D9"/>
        <w:ind w:left="567"/>
      </w:pPr>
      <w:r>
        <w:t xml:space="preserve">Les </w:t>
      </w:r>
      <w:r w:rsidRPr="0094125F">
        <w:rPr>
          <w:color w:val="E36C0A" w:themeColor="accent6" w:themeShade="BF"/>
        </w:rPr>
        <w:t xml:space="preserve">charges propres au bâtiment seront réparties entre les seuls copropriétaires du bâtiment au prorata des quotes-parts de charges de bâtiments </w:t>
      </w:r>
      <w:r>
        <w:t>qui leurs sont accordées tel que décrit dans le tableau récapitulatif des différentes charges figurant ci-après.</w:t>
      </w:r>
    </w:p>
    <w:p w:rsidR="00915F0B" w:rsidRDefault="00915F0B" w:rsidP="00915F0B">
      <w:pPr>
        <w:shd w:val="clear" w:color="auto" w:fill="D9D9D9" w:themeFill="background1" w:themeFillShade="D9"/>
        <w:ind w:left="567"/>
      </w:pPr>
      <w:r>
        <w:t>Néanmoins, les copropriétaires qui aggraveraient ces charges par leur fait, par celui des personnes à leur service ou de leurs locataires, supporteraient seuls l'intégralité des dépenses ainsi occasionnées.</w:t>
      </w:r>
    </w:p>
    <w:p w:rsidR="00915F0B" w:rsidRDefault="00915F0B" w:rsidP="00915F0B">
      <w:pPr>
        <w:ind w:left="567"/>
      </w:pPr>
      <w:r>
        <w:t xml:space="preserve">P24 : La notion de parties communes spéciales, c’est-à-dire liées à l’usage d’un bâtiment, est-elle pertinente ? Tous les copropriétaires ne sont-ils pas amenés à utiliser les parties communes ? </w:t>
      </w:r>
      <w:r>
        <w:sym w:font="Wingdings" w:char="F0E8"/>
      </w:r>
      <w:r>
        <w:t xml:space="preserve"> les usages seront plutôt gérés par l’</w:t>
      </w:r>
      <w:proofErr w:type="spellStart"/>
      <w:r>
        <w:t>asso</w:t>
      </w:r>
      <w:proofErr w:type="spellEnd"/>
      <w:r>
        <w:t> ?</w:t>
      </w:r>
    </w:p>
    <w:p w:rsidR="00915F0B" w:rsidRDefault="00915F0B" w:rsidP="00915F0B">
      <w:pPr>
        <w:ind w:left="567"/>
      </w:pPr>
      <w:r>
        <w:t xml:space="preserve">P25 : les charges propres à un bâtiment seront réparties entre les </w:t>
      </w:r>
      <w:proofErr w:type="spellStart"/>
      <w:r>
        <w:t>copros</w:t>
      </w:r>
      <w:proofErr w:type="spellEnd"/>
      <w:r>
        <w:t xml:space="preserve"> de ce bâtiment. Peut-on imaginer une répartition globale plus solidaire ? </w:t>
      </w:r>
    </w:p>
    <w:p w:rsidR="006C1E1A" w:rsidRDefault="00B3672C" w:rsidP="00B3672C">
      <w:pPr>
        <w:rPr>
          <w:highlight w:val="yellow"/>
        </w:rPr>
      </w:pPr>
      <w:r w:rsidRPr="00B3672C">
        <w:rPr>
          <w:smallCaps/>
          <w:color w:val="FF0000"/>
          <w:highlight w:val="yellow"/>
        </w:rPr>
        <w:t xml:space="preserve">Décision : </w:t>
      </w:r>
      <w:r w:rsidR="004F3A4D">
        <w:rPr>
          <w:highlight w:val="yellow"/>
        </w:rPr>
        <w:t>accord</w:t>
      </w:r>
      <w:r w:rsidRPr="0040108D">
        <w:rPr>
          <w:highlight w:val="yellow"/>
        </w:rPr>
        <w:t xml:space="preserve"> </w:t>
      </w:r>
      <w:r>
        <w:rPr>
          <w:highlight w:val="yellow"/>
        </w:rPr>
        <w:t xml:space="preserve">des présents </w:t>
      </w:r>
      <w:r w:rsidR="004F3A4D">
        <w:rPr>
          <w:highlight w:val="yellow"/>
        </w:rPr>
        <w:t>pour une</w:t>
      </w:r>
      <w:r w:rsidRPr="0040108D">
        <w:rPr>
          <w:highlight w:val="yellow"/>
        </w:rPr>
        <w:t xml:space="preserve"> copropriété</w:t>
      </w:r>
      <w:r w:rsidR="006C1E1A">
        <w:rPr>
          <w:highlight w:val="yellow"/>
        </w:rPr>
        <w:t xml:space="preserve"> commune de tous les bâtiments</w:t>
      </w:r>
      <w:r w:rsidR="004F3A4D">
        <w:rPr>
          <w:highlight w:val="yellow"/>
        </w:rPr>
        <w:t>, et donc une répartition des charges entre tous</w:t>
      </w:r>
      <w:r w:rsidR="006C1E1A">
        <w:rPr>
          <w:highlight w:val="yellow"/>
        </w:rPr>
        <w:t>.</w:t>
      </w:r>
    </w:p>
    <w:p w:rsidR="00B3672C" w:rsidRDefault="00B3672C" w:rsidP="006C1E1A">
      <w:pPr>
        <w:ind w:firstLine="360"/>
      </w:pPr>
      <w:r>
        <w:rPr>
          <w:highlight w:val="yellow"/>
        </w:rPr>
        <w:t>Le c</w:t>
      </w:r>
      <w:r w:rsidRPr="0040108D">
        <w:rPr>
          <w:highlight w:val="yellow"/>
        </w:rPr>
        <w:t>ercle juridique en discute avec GHT et/ou AH.</w:t>
      </w:r>
    </w:p>
    <w:p w:rsidR="006C1E1A" w:rsidRDefault="006C1E1A" w:rsidP="006C1E1A">
      <w:pPr>
        <w:ind w:firstLine="360"/>
      </w:pPr>
      <w:r w:rsidRPr="006C1E1A">
        <w:rPr>
          <w:highlight w:val="yellow"/>
        </w:rPr>
        <w:t>Les absents sont appelés à se prononcer</w:t>
      </w:r>
    </w:p>
    <w:p w:rsidR="0094125F" w:rsidRPr="0094125F" w:rsidRDefault="000C1BA9" w:rsidP="0094125F">
      <w:pPr>
        <w:rPr>
          <w:bCs/>
          <w:u w:val="single"/>
        </w:rPr>
      </w:pPr>
      <w:r>
        <w:rPr>
          <w:bCs/>
          <w:u w:val="single"/>
        </w:rPr>
        <w:t>3</w:t>
      </w:r>
      <w:r w:rsidR="0094125F" w:rsidRPr="0094125F">
        <w:rPr>
          <w:bCs/>
          <w:u w:val="single"/>
        </w:rPr>
        <w:t xml:space="preserve"> – </w:t>
      </w:r>
      <w:r>
        <w:rPr>
          <w:bCs/>
          <w:u w:val="single"/>
        </w:rPr>
        <w:t>Entretien des jardins à usage privatif</w:t>
      </w:r>
    </w:p>
    <w:p w:rsidR="000C1BA9" w:rsidRDefault="000C1BA9" w:rsidP="000C1BA9">
      <w:r w:rsidRPr="005E2A7D">
        <w:rPr>
          <w:i/>
          <w:iCs/>
        </w:rPr>
        <w:t xml:space="preserve">Les charges d’entretien et réfection sont à répartir entre les </w:t>
      </w:r>
      <w:proofErr w:type="spellStart"/>
      <w:r w:rsidRPr="005E2A7D">
        <w:rPr>
          <w:i/>
          <w:iCs/>
        </w:rPr>
        <w:t>copros</w:t>
      </w:r>
      <w:proofErr w:type="spellEnd"/>
      <w:r w:rsidRPr="005E2A7D">
        <w:rPr>
          <w:i/>
          <w:iCs/>
        </w:rPr>
        <w:t xml:space="preserve"> bénéficiant d’un jardin privatif. </w:t>
      </w:r>
      <w:r>
        <w:t>Cet article correspond plutôt à un modèle où le syndic gère l’entreti</w:t>
      </w:r>
      <w:r>
        <w:t xml:space="preserve">en des jardins ce qui ne sera pas </w:t>
      </w:r>
    </w:p>
    <w:p w:rsidR="000C1BA9" w:rsidRDefault="000C1BA9" w:rsidP="000C1BA9">
      <w:r w:rsidRPr="00B3672C">
        <w:rPr>
          <w:smallCaps/>
          <w:color w:val="FF0000"/>
          <w:highlight w:val="yellow"/>
        </w:rPr>
        <w:t xml:space="preserve">Décision : </w:t>
      </w:r>
      <w:r>
        <w:rPr>
          <w:highlight w:val="yellow"/>
        </w:rPr>
        <w:t>accord</w:t>
      </w:r>
      <w:r w:rsidRPr="0040108D">
        <w:rPr>
          <w:highlight w:val="yellow"/>
        </w:rPr>
        <w:t xml:space="preserve"> </w:t>
      </w:r>
      <w:r>
        <w:rPr>
          <w:highlight w:val="yellow"/>
        </w:rPr>
        <w:t xml:space="preserve">des présents pour </w:t>
      </w:r>
      <w:r>
        <w:rPr>
          <w:highlight w:val="yellow"/>
        </w:rPr>
        <w:t>que c</w:t>
      </w:r>
      <w:r w:rsidRPr="001B3D90">
        <w:rPr>
          <w:highlight w:val="yellow"/>
        </w:rPr>
        <w:t>haque propriétaire s’occupe d’entretenir le jardin à jouissance exclusive dont il a la jouissance (dont clôture et haies)</w:t>
      </w:r>
    </w:p>
    <w:p w:rsidR="000C1BA9" w:rsidRDefault="000C1BA9" w:rsidP="000C1BA9">
      <w:pPr>
        <w:ind w:firstLine="360"/>
      </w:pPr>
      <w:r w:rsidRPr="006C1E1A">
        <w:rPr>
          <w:highlight w:val="yellow"/>
        </w:rPr>
        <w:t>Les absents sont appelés à se prononcer</w:t>
      </w:r>
    </w:p>
    <w:p w:rsidR="0094125F" w:rsidRDefault="0094125F" w:rsidP="0094125F"/>
    <w:p w:rsidR="000C1BA9" w:rsidRPr="000C1BA9" w:rsidRDefault="000C1BA9" w:rsidP="000C1BA9">
      <w:r>
        <w:rPr>
          <w:b/>
        </w:rPr>
        <w:t>Articles divers du RC</w:t>
      </w:r>
    </w:p>
    <w:p w:rsidR="000C1BA9" w:rsidRDefault="000C1BA9" w:rsidP="00B3672C">
      <w:r>
        <w:t>Chapitre I – Destination de l’ensemble. Autorisation des p</w:t>
      </w:r>
      <w:r>
        <w:t>rofession</w:t>
      </w:r>
      <w:r>
        <w:t>s</w:t>
      </w:r>
      <w:r>
        <w:t xml:space="preserve"> libérale</w:t>
      </w:r>
      <w:r>
        <w:t>s</w:t>
      </w:r>
    </w:p>
    <w:p w:rsidR="000C1BA9" w:rsidRPr="000C1BA9" w:rsidRDefault="000C1BA9" w:rsidP="00B3672C">
      <w:pPr>
        <w:rPr>
          <w:highlight w:val="yellow"/>
        </w:rPr>
      </w:pPr>
      <w:r w:rsidRPr="000C1BA9">
        <w:rPr>
          <w:smallCaps/>
          <w:color w:val="FF0000"/>
          <w:highlight w:val="yellow"/>
        </w:rPr>
        <w:lastRenderedPageBreak/>
        <w:t xml:space="preserve">Décision : </w:t>
      </w:r>
      <w:r w:rsidRPr="000C1BA9">
        <w:rPr>
          <w:highlight w:val="yellow"/>
        </w:rPr>
        <w:t xml:space="preserve">accord </w:t>
      </w:r>
      <w:r w:rsidRPr="000C1BA9">
        <w:rPr>
          <w:highlight w:val="yellow"/>
        </w:rPr>
        <w:t>des présents sur la possibilité d’installation de professions libérales dans la copropriété sous réserve que :</w:t>
      </w:r>
    </w:p>
    <w:p w:rsidR="0022543B" w:rsidRPr="0022543B" w:rsidRDefault="0022543B" w:rsidP="0022543B">
      <w:pPr>
        <w:pStyle w:val="Paragraphedeliste"/>
        <w:numPr>
          <w:ilvl w:val="0"/>
          <w:numId w:val="5"/>
        </w:numPr>
        <w:rPr>
          <w:highlight w:val="yellow"/>
        </w:rPr>
      </w:pPr>
      <w:r w:rsidRPr="0022543B">
        <w:rPr>
          <w:highlight w:val="yellow"/>
        </w:rPr>
        <w:t>L’installation est autorisé</w:t>
      </w:r>
      <w:r>
        <w:rPr>
          <w:highlight w:val="yellow"/>
        </w:rPr>
        <w:t>e</w:t>
      </w:r>
      <w:r w:rsidRPr="0022543B">
        <w:rPr>
          <w:highlight w:val="yellow"/>
        </w:rPr>
        <w:t xml:space="preserve"> par l’AG (examen des demandes au cas par cas).</w:t>
      </w:r>
    </w:p>
    <w:p w:rsidR="000C1BA9" w:rsidRPr="0022543B" w:rsidRDefault="000C1BA9" w:rsidP="000C1BA9">
      <w:pPr>
        <w:pStyle w:val="Paragraphedeliste"/>
        <w:numPr>
          <w:ilvl w:val="0"/>
          <w:numId w:val="5"/>
        </w:numPr>
        <w:rPr>
          <w:highlight w:val="yellow"/>
        </w:rPr>
      </w:pPr>
      <w:r w:rsidRPr="0022543B">
        <w:rPr>
          <w:highlight w:val="yellow"/>
        </w:rPr>
        <w:t>Le lot garde une destination principale de logement (maintenir la vocation d’habitat participatif de la copropriété)</w:t>
      </w:r>
    </w:p>
    <w:p w:rsidR="0022543B" w:rsidRDefault="0022543B" w:rsidP="0022543B">
      <w:r>
        <w:t>Article 4.7 – Pose d’antenne satellite</w:t>
      </w:r>
    </w:p>
    <w:p w:rsidR="0022543B" w:rsidRDefault="0022543B" w:rsidP="0022543B">
      <w:pPr>
        <w:rPr>
          <w:highlight w:val="yellow"/>
        </w:rPr>
      </w:pPr>
      <w:r w:rsidRPr="000C1BA9">
        <w:rPr>
          <w:smallCaps/>
          <w:color w:val="FF0000"/>
          <w:highlight w:val="yellow"/>
        </w:rPr>
        <w:t xml:space="preserve">Décision : </w:t>
      </w:r>
      <w:r w:rsidRPr="000C1BA9">
        <w:rPr>
          <w:highlight w:val="yellow"/>
        </w:rPr>
        <w:t xml:space="preserve">accord des présents </w:t>
      </w:r>
      <w:r>
        <w:rPr>
          <w:highlight w:val="yellow"/>
        </w:rPr>
        <w:t>pour enlever cet article et le remplacer par un article plus général sur “Réalisation de travaux pouvant impacter l’enveloppe du bâtiment</w:t>
      </w:r>
      <w:r w:rsidR="00DB03BA">
        <w:rPr>
          <w:highlight w:val="yellow"/>
        </w:rPr>
        <w:t xml:space="preserve"> (étanchéité et performance thermique)</w:t>
      </w:r>
      <w:r>
        <w:rPr>
          <w:highlight w:val="yellow"/>
        </w:rPr>
        <w:t xml:space="preserve">” </w:t>
      </w:r>
      <w:r w:rsidR="00DB03BA">
        <w:rPr>
          <w:highlight w:val="yellow"/>
        </w:rPr>
        <w:t xml:space="preserve">comprenant la </w:t>
      </w:r>
      <w:r>
        <w:rPr>
          <w:highlight w:val="yellow"/>
        </w:rPr>
        <w:t>pose d’antenne, fixation de stores, fixation de pergolas…</w:t>
      </w:r>
      <w:r w:rsidR="00DB03BA">
        <w:rPr>
          <w:highlight w:val="yellow"/>
        </w:rPr>
        <w:t> :</w:t>
      </w:r>
    </w:p>
    <w:p w:rsidR="00DB03BA" w:rsidRDefault="00DB03BA" w:rsidP="00DB03BA">
      <w:pPr>
        <w:pStyle w:val="Paragraphedeliste"/>
      </w:pPr>
      <w:r w:rsidRPr="007D2DED">
        <w:rPr>
          <w:highlight w:val="yellow"/>
        </w:rPr>
        <w:t>Tout</w:t>
      </w:r>
      <w:r>
        <w:rPr>
          <w:highlight w:val="yellow"/>
        </w:rPr>
        <w:t xml:space="preserve"> travaux</w:t>
      </w:r>
      <w:r w:rsidRPr="007D2DED">
        <w:rPr>
          <w:highlight w:val="yellow"/>
        </w:rPr>
        <w:t xml:space="preserve"> qui touche à la structure du bâtiment </w:t>
      </w:r>
      <w:r>
        <w:rPr>
          <w:highlight w:val="yellow"/>
        </w:rPr>
        <w:t>ou à son enveloppe</w:t>
      </w:r>
      <w:r w:rsidRPr="007D2DED">
        <w:rPr>
          <w:highlight w:val="yellow"/>
        </w:rPr>
        <w:t xml:space="preserve"> doit avoir l’aval de la copropriété– qui valide alors l’obligation de recours à un professionnel ou non (vérification de la compétence, des modalités de travaux)</w:t>
      </w:r>
    </w:p>
    <w:p w:rsidR="00DB03BA" w:rsidRDefault="00DB03BA" w:rsidP="0022543B">
      <w:pPr>
        <w:rPr>
          <w:highlight w:val="yellow"/>
        </w:rPr>
      </w:pPr>
    </w:p>
    <w:p w:rsidR="00DB03BA" w:rsidRPr="00DB03BA" w:rsidRDefault="00DB03BA" w:rsidP="0022543B">
      <w:r w:rsidRPr="00DB03BA">
        <w:t>Article 4</w:t>
      </w:r>
      <w:r>
        <w:t>.</w:t>
      </w:r>
      <w:r w:rsidRPr="00DB03BA">
        <w:t xml:space="preserve">14 - </w:t>
      </w:r>
      <w:r>
        <w:t>Véhicule électrique</w:t>
      </w:r>
    </w:p>
    <w:p w:rsidR="0022543B" w:rsidRDefault="00DB03BA" w:rsidP="0022543B">
      <w:r w:rsidRPr="00DB03BA">
        <w:rPr>
          <w:smallCaps/>
          <w:color w:val="FF0000"/>
          <w:highlight w:val="yellow"/>
        </w:rPr>
        <w:t xml:space="preserve">Décision : </w:t>
      </w:r>
      <w:r w:rsidRPr="00DB03BA">
        <w:rPr>
          <w:highlight w:val="yellow"/>
        </w:rPr>
        <w:t>accord des présents</w:t>
      </w:r>
      <w:r w:rsidRPr="00DB03BA">
        <w:rPr>
          <w:highlight w:val="yellow"/>
        </w:rPr>
        <w:t xml:space="preserve"> sur la formulation actuelle de l’article</w:t>
      </w:r>
    </w:p>
    <w:p w:rsidR="007D2DED" w:rsidRDefault="00DB03BA" w:rsidP="00DB03BA">
      <w:r>
        <w:t xml:space="preserve">Article 4.19 - </w:t>
      </w:r>
      <w:r w:rsidR="00B76530">
        <w:t xml:space="preserve">Autorisation </w:t>
      </w:r>
      <w:r>
        <w:t>d’entrée à la police</w:t>
      </w:r>
    </w:p>
    <w:p w:rsidR="00DB03BA" w:rsidRDefault="00DB03BA" w:rsidP="00DB03BA">
      <w:r w:rsidRPr="00DB03BA">
        <w:rPr>
          <w:smallCaps/>
          <w:color w:val="FF0000"/>
          <w:highlight w:val="yellow"/>
        </w:rPr>
        <w:t xml:space="preserve">Décision : </w:t>
      </w:r>
      <w:r w:rsidRPr="00DB03BA">
        <w:rPr>
          <w:highlight w:val="yellow"/>
        </w:rPr>
        <w:t xml:space="preserve">accord des présents </w:t>
      </w:r>
      <w:r>
        <w:rPr>
          <w:highlight w:val="yellow"/>
        </w:rPr>
        <w:t xml:space="preserve"> sur la suppression de cette article (la police n’a pas autorisation par défaut pour pénétrer dans les parties communes</w:t>
      </w:r>
      <w:r w:rsidR="00894F50">
        <w:rPr>
          <w:highlight w:val="yellow"/>
        </w:rPr>
        <w:t xml:space="preserve"> (pas de patrouille de surveillance), mais garde évidemment la possibilité d’intervenir en cas d’urgence</w:t>
      </w:r>
      <w:r>
        <w:rPr>
          <w:highlight w:val="yellow"/>
        </w:rPr>
        <w:t>)</w:t>
      </w:r>
    </w:p>
    <w:p w:rsidR="00401D21" w:rsidRDefault="00401D21" w:rsidP="007D2DED">
      <w:pPr>
        <w:pStyle w:val="Paragraphedeliste"/>
      </w:pPr>
    </w:p>
    <w:p w:rsidR="00E82D81" w:rsidRDefault="00E82D81" w:rsidP="007D2DED">
      <w:pPr>
        <w:pStyle w:val="Paragraphedeliste"/>
      </w:pPr>
    </w:p>
    <w:p w:rsidR="00E82D81" w:rsidRDefault="00E82D81">
      <w:r>
        <w:br w:type="page"/>
      </w:r>
    </w:p>
    <w:p w:rsidR="00E82D81" w:rsidRPr="00E82D81" w:rsidRDefault="001451DD" w:rsidP="00E82D81">
      <w:pPr>
        <w:jc w:val="center"/>
        <w:rPr>
          <w:b/>
          <w:smallCaps/>
        </w:rPr>
      </w:pPr>
      <w:proofErr w:type="spellStart"/>
      <w:r>
        <w:rPr>
          <w:b/>
          <w:smallCaps/>
        </w:rPr>
        <w:lastRenderedPageBreak/>
        <w:t>Mattermost</w:t>
      </w:r>
      <w:proofErr w:type="spellEnd"/>
      <w:r>
        <w:rPr>
          <w:b/>
          <w:smallCaps/>
        </w:rPr>
        <w:t xml:space="preserve"> : </w:t>
      </w:r>
      <w:r w:rsidR="00E82D81" w:rsidRPr="00E82D81">
        <w:rPr>
          <w:b/>
          <w:smallCaps/>
        </w:rPr>
        <w:t>Comment régler les notifications par email</w:t>
      </w:r>
      <w:r w:rsidR="00E82D81" w:rsidRPr="00E82D81">
        <w:rPr>
          <w:b/>
          <w:smallCaps/>
        </w:rPr>
        <w:t> ?</w:t>
      </w:r>
    </w:p>
    <w:p w:rsidR="00E82D81" w:rsidRDefault="00E82D81" w:rsidP="00E82D81">
      <w:r>
        <w:t>Aller dans « paramètres du compte »</w:t>
      </w:r>
    </w:p>
    <w:p w:rsidR="00E82D81" w:rsidRDefault="00E82D81" w:rsidP="001451DD">
      <w:pPr>
        <w:jc w:val="center"/>
      </w:pPr>
      <w:r>
        <w:rPr>
          <w:noProof/>
          <w:lang w:eastAsia="fr-FR"/>
        </w:rPr>
        <w:drawing>
          <wp:inline distT="0" distB="0" distL="0" distR="0" wp14:anchorId="0955D93C" wp14:editId="3D7B9329">
            <wp:extent cx="3260035" cy="2491643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2846" cy="249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D81" w:rsidRDefault="00E82D81" w:rsidP="00E82D81">
      <w:r>
        <w:t>Choisir « Notifications »,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82D81" w:rsidTr="00FE0CE4">
        <w:tc>
          <w:tcPr>
            <w:tcW w:w="4606" w:type="dxa"/>
          </w:tcPr>
          <w:p w:rsidR="00E82D81" w:rsidRDefault="00E82D81" w:rsidP="00FE0CE4">
            <w:r>
              <w:t>Dans la catégorie « Mots qui déclenchent les mentions »</w:t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48C966DB" wp14:editId="717BCD07">
                  <wp:extent cx="2521655" cy="1636154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396" cy="1637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82D81" w:rsidRDefault="00E82D81" w:rsidP="00FE0CE4">
            <w:r>
              <w:t>Dans la catégorie « Notifications par email</w:t>
            </w:r>
          </w:p>
          <w:p w:rsidR="00E82D81" w:rsidRDefault="00E82D81" w:rsidP="00FE0CE4">
            <w:r>
              <w:rPr>
                <w:noProof/>
                <w:lang w:eastAsia="fr-FR"/>
              </w:rPr>
              <w:drawing>
                <wp:inline distT="0" distB="0" distL="0" distR="0" wp14:anchorId="35756DD8" wp14:editId="7503CB50">
                  <wp:extent cx="2488484" cy="1621775"/>
                  <wp:effectExtent l="0" t="0" r="762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62" cy="162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D81" w:rsidTr="00FE0CE4">
        <w:tc>
          <w:tcPr>
            <w:tcW w:w="4606" w:type="dxa"/>
          </w:tcPr>
          <w:p w:rsidR="00E82D81" w:rsidRDefault="00E82D81" w:rsidP="00FE0CE4">
            <w:r>
              <w:t>Et cocher les 2 cases comme ci-dessous</w:t>
            </w:r>
          </w:p>
          <w:p w:rsidR="00E82D81" w:rsidRDefault="00E82D81" w:rsidP="00FE0CE4"/>
          <w:p w:rsidR="00E82D81" w:rsidRDefault="00E82D81" w:rsidP="00FE0CE4">
            <w:r>
              <w:t> :</w:t>
            </w:r>
          </w:p>
          <w:p w:rsidR="00E82D81" w:rsidRDefault="00E82D81" w:rsidP="00FE0CE4">
            <w:r>
              <w:rPr>
                <w:noProof/>
                <w:lang w:eastAsia="fr-FR"/>
              </w:rPr>
              <w:drawing>
                <wp:inline distT="0" distB="0" distL="0" distR="0" wp14:anchorId="2D9B9FB8" wp14:editId="464B1FCC">
                  <wp:extent cx="2738720" cy="1804946"/>
                  <wp:effectExtent l="0" t="0" r="508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475" cy="180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2D81" w:rsidRDefault="00E82D81" w:rsidP="00FE0CE4"/>
        </w:tc>
        <w:tc>
          <w:tcPr>
            <w:tcW w:w="4606" w:type="dxa"/>
          </w:tcPr>
          <w:p w:rsidR="00E82D81" w:rsidRDefault="00E82D81" w:rsidP="00FE0CE4">
            <w:r>
              <w:t xml:space="preserve">Et cocher “immédiatement”, </w:t>
            </w:r>
            <w:r w:rsidR="00DB03BA">
              <w:t>ou “</w:t>
            </w:r>
            <w:r>
              <w:t>toutes les 15mn” ou “toutes les heures” (mais surtout pas “jamais”)</w:t>
            </w:r>
          </w:p>
          <w:p w:rsidR="00E82D81" w:rsidRDefault="00E82D81" w:rsidP="00FE0CE4">
            <w:r>
              <w:rPr>
                <w:noProof/>
                <w:lang w:eastAsia="fr-FR"/>
              </w:rPr>
              <w:drawing>
                <wp:inline distT="0" distB="0" distL="0" distR="0" wp14:anchorId="4B0FB9AA" wp14:editId="35527F75">
                  <wp:extent cx="2651055" cy="1894577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893" cy="189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D81" w:rsidRDefault="00E82D81" w:rsidP="00E82D81"/>
    <w:p w:rsidR="00DB03BA" w:rsidRDefault="00DB03BA" w:rsidP="00E82D81">
      <w:r>
        <w:t xml:space="preserve">Dès qu’un message sera posté dans </w:t>
      </w:r>
      <w:proofErr w:type="spellStart"/>
      <w:r>
        <w:t>Mattermost</w:t>
      </w:r>
      <w:proofErr w:type="spellEnd"/>
      <w:r>
        <w:t xml:space="preserve"> avec la mention « @all » (cas de tous les messages importants) vous recevrez une alerte par email.</w:t>
      </w:r>
    </w:p>
    <w:sectPr w:rsidR="00DB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uline BOUDANT" w:date="2020-03-01T11:55:00Z" w:initials="PB">
    <w:p w:rsidR="008C5569" w:rsidRDefault="008C5569">
      <w:pPr>
        <w:pStyle w:val="Commentaire"/>
      </w:pPr>
      <w:r>
        <w:rPr>
          <w:rStyle w:val="Marquedecommentaire"/>
        </w:rPr>
        <w:annotationRef/>
      </w:r>
      <w:r>
        <w:t>Etienne &gt; Peux-tu corriger ? Je croyais que c’était le contraire…est-ce que j’ai mal noté ? ou il y a eu changement depuis le 19/01 ?</w:t>
      </w:r>
    </w:p>
  </w:comment>
  <w:comment w:id="1" w:author="Pauline BOUDANT" w:date="2020-03-01T12:19:00Z" w:initials="PB">
    <w:p w:rsidR="001451DD" w:rsidRDefault="001451DD">
      <w:pPr>
        <w:pStyle w:val="Commentaire"/>
      </w:pPr>
      <w:r>
        <w:rPr>
          <w:rStyle w:val="Marquedecommentaire"/>
        </w:rPr>
        <w:annotationRef/>
      </w:r>
      <w:r>
        <w:t>Etienne &gt; il me semble que c’est toi qui a pris la photo du tableau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377"/>
    <w:multiLevelType w:val="hybridMultilevel"/>
    <w:tmpl w:val="5658F24A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DE1604"/>
    <w:multiLevelType w:val="hybridMultilevel"/>
    <w:tmpl w:val="7DEA1D2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05EE9"/>
    <w:multiLevelType w:val="hybridMultilevel"/>
    <w:tmpl w:val="D3F63F42"/>
    <w:lvl w:ilvl="0" w:tplc="040C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941C55"/>
    <w:multiLevelType w:val="hybridMultilevel"/>
    <w:tmpl w:val="B71E752E"/>
    <w:lvl w:ilvl="0" w:tplc="1AF820A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F098F"/>
    <w:multiLevelType w:val="hybridMultilevel"/>
    <w:tmpl w:val="8C785BD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5D"/>
    <w:rsid w:val="0005535D"/>
    <w:rsid w:val="000A069A"/>
    <w:rsid w:val="000C1BA9"/>
    <w:rsid w:val="000E22E0"/>
    <w:rsid w:val="001451DD"/>
    <w:rsid w:val="001B7B6E"/>
    <w:rsid w:val="001D12E4"/>
    <w:rsid w:val="002165B3"/>
    <w:rsid w:val="0022543B"/>
    <w:rsid w:val="00401D21"/>
    <w:rsid w:val="004F163B"/>
    <w:rsid w:val="004F3A4D"/>
    <w:rsid w:val="00507DBE"/>
    <w:rsid w:val="006C1E1A"/>
    <w:rsid w:val="007B3C35"/>
    <w:rsid w:val="007D2DED"/>
    <w:rsid w:val="00850956"/>
    <w:rsid w:val="00894F50"/>
    <w:rsid w:val="008A2D31"/>
    <w:rsid w:val="008C5569"/>
    <w:rsid w:val="00915F0B"/>
    <w:rsid w:val="0094125F"/>
    <w:rsid w:val="00A42F04"/>
    <w:rsid w:val="00A544E5"/>
    <w:rsid w:val="00B3672C"/>
    <w:rsid w:val="00B76530"/>
    <w:rsid w:val="00D41EA4"/>
    <w:rsid w:val="00DB03BA"/>
    <w:rsid w:val="00DB4833"/>
    <w:rsid w:val="00E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535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C55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55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55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55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556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5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535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C55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55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55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55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556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5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1176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BOUDANT</dc:creator>
  <cp:lastModifiedBy>Pauline BOUDANT</cp:lastModifiedBy>
  <cp:revision>9</cp:revision>
  <dcterms:created xsi:type="dcterms:W3CDTF">2020-01-19T09:01:00Z</dcterms:created>
  <dcterms:modified xsi:type="dcterms:W3CDTF">2020-03-01T12:49:00Z</dcterms:modified>
</cp:coreProperties>
</file>